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4ADA"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bookmarkStart w:id="0" w:name="_GoBack"/>
      <w:r w:rsidRPr="00FB687D">
        <w:rPr>
          <w:rFonts w:ascii="Times New Roman" w:eastAsia="Times New Roman" w:hAnsi="Times New Roman" w:cs="Times New Roman"/>
          <w:sz w:val="24"/>
          <w:szCs w:val="24"/>
        </w:rPr>
        <w:t> Third-Party Payer Analysis </w:t>
      </w:r>
    </w:p>
    <w:p w14:paraId="65805D71"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Providing healthcare services involves a complex web of interactions between patients, healthcare providers, and third-party payers. Third-party payers, including private insurance and public/government programs, are crucial in reimbursing physicians and healthcare systems for the services rendered. This essay will delve into the various reimbursement methods employed by third-party payers, the factors influencing these calculations, and the comparison of reimbursement levels across different payers.</w:t>
      </w:r>
    </w:p>
    <w:p w14:paraId="088DA680" w14:textId="77777777" w:rsidR="00FB687D" w:rsidRPr="00FB687D" w:rsidRDefault="00FB687D" w:rsidP="00FB687D">
      <w:pPr>
        <w:spacing w:before="100" w:beforeAutospacing="1" w:after="100" w:afterAutospacing="1" w:line="240" w:lineRule="auto"/>
        <w:outlineLvl w:val="1"/>
        <w:rPr>
          <w:rFonts w:ascii="Times New Roman" w:eastAsia="Times New Roman" w:hAnsi="Times New Roman" w:cs="Times New Roman"/>
          <w:b/>
          <w:bCs/>
          <w:sz w:val="36"/>
          <w:szCs w:val="36"/>
        </w:rPr>
      </w:pPr>
      <w:r w:rsidRPr="00FB687D">
        <w:rPr>
          <w:rFonts w:ascii="Times New Roman" w:eastAsia="Times New Roman" w:hAnsi="Times New Roman" w:cs="Times New Roman"/>
          <w:b/>
          <w:bCs/>
          <w:sz w:val="36"/>
          <w:szCs w:val="36"/>
        </w:rPr>
        <w:t>Overview of Third-Party Payers</w:t>
      </w:r>
    </w:p>
    <w:p w14:paraId="3D3925F0"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noProof/>
          <w:sz w:val="24"/>
          <w:szCs w:val="24"/>
        </w:rPr>
        <w:drawing>
          <wp:inline distT="0" distB="0" distL="0" distR="0" wp14:anchorId="289A816E" wp14:editId="4A642311">
            <wp:extent cx="2619375" cy="1743075"/>
            <wp:effectExtent l="0" t="0" r="9525" b="9525"/>
            <wp:docPr id="3" name="Picture 3" descr="Third-Party P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rd-Party Pay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4712CD2"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Third-party payers act as intermediaries between patients and healthcare providers. They assume the financial responsibility for healthcare costs and determine the reimbursement rates for medical services. Two main categories of third-party payers exist private insurance and public/government programs. Private insurances encompass well-known providers like Blue Cross/Blue Shield, while public programs include Medicare, Medicaid, and State Children's Health Insurance Programs (SCHIPs).</w:t>
      </w:r>
    </w:p>
    <w:p w14:paraId="14D15CD1"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Reimbursement Methods: Third-party payers employ various reimbursement methods to compensate healthcare providers and hospitals. The choice of method depends on the specific payer and the nature of the service provided (outpatient or inpatient). Some standard reimbursement methods include:</w:t>
      </w:r>
    </w:p>
    <w:p w14:paraId="3EE28050"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Fee-for-Service (FFS): Under the fee-for-service model, providers are reimbursed based on the number and type of services rendered. Each service is assigned a predetermined fee, and providers receive payment accordingly. While FFS offers flexibility, it has been </w:t>
      </w:r>
      <w:proofErr w:type="spellStart"/>
      <w:r w:rsidRPr="00FB687D">
        <w:rPr>
          <w:rFonts w:ascii="Times New Roman" w:eastAsia="Times New Roman" w:hAnsi="Times New Roman" w:cs="Times New Roman"/>
          <w:sz w:val="24"/>
          <w:szCs w:val="24"/>
        </w:rPr>
        <w:t>criticised</w:t>
      </w:r>
      <w:proofErr w:type="spellEnd"/>
      <w:r w:rsidRPr="00FB687D">
        <w:rPr>
          <w:rFonts w:ascii="Times New Roman" w:eastAsia="Times New Roman" w:hAnsi="Times New Roman" w:cs="Times New Roman"/>
          <w:sz w:val="24"/>
          <w:szCs w:val="24"/>
        </w:rPr>
        <w:t xml:space="preserve"> for </w:t>
      </w:r>
      <w:proofErr w:type="spellStart"/>
      <w:r w:rsidRPr="00FB687D">
        <w:rPr>
          <w:rFonts w:ascii="Times New Roman" w:eastAsia="Times New Roman" w:hAnsi="Times New Roman" w:cs="Times New Roman"/>
          <w:sz w:val="24"/>
          <w:szCs w:val="24"/>
        </w:rPr>
        <w:t>incentivising</w:t>
      </w:r>
      <w:proofErr w:type="spellEnd"/>
      <w:r w:rsidRPr="00FB687D">
        <w:rPr>
          <w:rFonts w:ascii="Times New Roman" w:eastAsia="Times New Roman" w:hAnsi="Times New Roman" w:cs="Times New Roman"/>
          <w:sz w:val="24"/>
          <w:szCs w:val="24"/>
        </w:rPr>
        <w:t xml:space="preserve"> </w:t>
      </w:r>
      <w:proofErr w:type="spellStart"/>
      <w:r w:rsidRPr="00FB687D">
        <w:rPr>
          <w:rFonts w:ascii="Times New Roman" w:eastAsia="Times New Roman" w:hAnsi="Times New Roman" w:cs="Times New Roman"/>
          <w:sz w:val="24"/>
          <w:szCs w:val="24"/>
        </w:rPr>
        <w:t>overutilisation</w:t>
      </w:r>
      <w:proofErr w:type="spellEnd"/>
      <w:r w:rsidRPr="00FB687D">
        <w:rPr>
          <w:rFonts w:ascii="Times New Roman" w:eastAsia="Times New Roman" w:hAnsi="Times New Roman" w:cs="Times New Roman"/>
          <w:sz w:val="24"/>
          <w:szCs w:val="24"/>
        </w:rPr>
        <w:t xml:space="preserve"> and failing to </w:t>
      </w:r>
      <w:proofErr w:type="spellStart"/>
      <w:r w:rsidRPr="00FB687D">
        <w:rPr>
          <w:rFonts w:ascii="Times New Roman" w:eastAsia="Times New Roman" w:hAnsi="Times New Roman" w:cs="Times New Roman"/>
          <w:sz w:val="24"/>
          <w:szCs w:val="24"/>
        </w:rPr>
        <w:t>prioritise</w:t>
      </w:r>
      <w:proofErr w:type="spellEnd"/>
      <w:r w:rsidRPr="00FB687D">
        <w:rPr>
          <w:rFonts w:ascii="Times New Roman" w:eastAsia="Times New Roman" w:hAnsi="Times New Roman" w:cs="Times New Roman"/>
          <w:sz w:val="24"/>
          <w:szCs w:val="24"/>
        </w:rPr>
        <w:t xml:space="preserve"> value-based care.</w:t>
      </w:r>
    </w:p>
    <w:p w14:paraId="1261545B"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In the capitation model, providers receive a fixed amount per patient enrolled over a specific period. This payment method encourages cost-effective care by shifting the financial risk from the payer to the provider. However, there is a concern that providers may need to improve the quality of care to </w:t>
      </w:r>
      <w:proofErr w:type="spellStart"/>
      <w:r w:rsidRPr="00FB687D">
        <w:rPr>
          <w:rFonts w:ascii="Times New Roman" w:eastAsia="Times New Roman" w:hAnsi="Times New Roman" w:cs="Times New Roman"/>
          <w:sz w:val="24"/>
          <w:szCs w:val="24"/>
        </w:rPr>
        <w:t>maximise</w:t>
      </w:r>
      <w:proofErr w:type="spellEnd"/>
      <w:r w:rsidRPr="00FB687D">
        <w:rPr>
          <w:rFonts w:ascii="Times New Roman" w:eastAsia="Times New Roman" w:hAnsi="Times New Roman" w:cs="Times New Roman"/>
          <w:sz w:val="24"/>
          <w:szCs w:val="24"/>
        </w:rPr>
        <w:t xml:space="preserve"> profits.</w:t>
      </w:r>
    </w:p>
    <w:p w14:paraId="3AEDF1FD"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Bundled payments involve reimbursing a fixed amount for a defined episode of care. Instead of paying for each service individually, payers make a single payment to cover all services related </w:t>
      </w:r>
      <w:r w:rsidRPr="00FB687D">
        <w:rPr>
          <w:rFonts w:ascii="Times New Roman" w:eastAsia="Times New Roman" w:hAnsi="Times New Roman" w:cs="Times New Roman"/>
          <w:sz w:val="24"/>
          <w:szCs w:val="24"/>
        </w:rPr>
        <w:lastRenderedPageBreak/>
        <w:t xml:space="preserve">to a specific condition or procedure. This approach promotes provider coordination and reduces fragmentation but requires effective care coordination and </w:t>
      </w:r>
      <w:proofErr w:type="spellStart"/>
      <w:r w:rsidRPr="00FB687D">
        <w:rPr>
          <w:rFonts w:ascii="Times New Roman" w:eastAsia="Times New Roman" w:hAnsi="Times New Roman" w:cs="Times New Roman"/>
          <w:sz w:val="24"/>
          <w:szCs w:val="24"/>
        </w:rPr>
        <w:t>standardised</w:t>
      </w:r>
      <w:proofErr w:type="spellEnd"/>
      <w:r w:rsidRPr="00FB687D">
        <w:rPr>
          <w:rFonts w:ascii="Times New Roman" w:eastAsia="Times New Roman" w:hAnsi="Times New Roman" w:cs="Times New Roman"/>
          <w:sz w:val="24"/>
          <w:szCs w:val="24"/>
        </w:rPr>
        <w:t xml:space="preserve"> protocols.</w:t>
      </w:r>
    </w:p>
    <w:p w14:paraId="556942F6"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Value-based payments tie reimbursement to the quality and outcomes of care provided. This model aims to </w:t>
      </w:r>
      <w:proofErr w:type="spellStart"/>
      <w:r w:rsidRPr="00FB687D">
        <w:rPr>
          <w:rFonts w:ascii="Times New Roman" w:eastAsia="Times New Roman" w:hAnsi="Times New Roman" w:cs="Times New Roman"/>
          <w:sz w:val="24"/>
          <w:szCs w:val="24"/>
        </w:rPr>
        <w:t>incentivise</w:t>
      </w:r>
      <w:proofErr w:type="spellEnd"/>
      <w:r w:rsidRPr="00FB687D">
        <w:rPr>
          <w:rFonts w:ascii="Times New Roman" w:eastAsia="Times New Roman" w:hAnsi="Times New Roman" w:cs="Times New Roman"/>
          <w:sz w:val="24"/>
          <w:szCs w:val="24"/>
        </w:rPr>
        <w:t xml:space="preserve"> high-quality care, improve patient outcomes, and control costs. Examples include pay-for-performance programs, accountable care </w:t>
      </w:r>
      <w:proofErr w:type="spellStart"/>
      <w:r w:rsidRPr="00FB687D">
        <w:rPr>
          <w:rFonts w:ascii="Times New Roman" w:eastAsia="Times New Roman" w:hAnsi="Times New Roman" w:cs="Times New Roman"/>
          <w:sz w:val="24"/>
          <w:szCs w:val="24"/>
        </w:rPr>
        <w:t>organisations</w:t>
      </w:r>
      <w:proofErr w:type="spellEnd"/>
      <w:r w:rsidRPr="00FB687D">
        <w:rPr>
          <w:rFonts w:ascii="Times New Roman" w:eastAsia="Times New Roman" w:hAnsi="Times New Roman" w:cs="Times New Roman"/>
          <w:sz w:val="24"/>
          <w:szCs w:val="24"/>
        </w:rPr>
        <w:t xml:space="preserve"> (ACOs), and shared savings initiatives.</w:t>
      </w:r>
    </w:p>
    <w:p w14:paraId="423ABF38"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b/>
          <w:bCs/>
          <w:sz w:val="24"/>
          <w:szCs w:val="24"/>
        </w:rPr>
        <w:t>Factors Influencing Reimbursement Calculations</w:t>
      </w:r>
    </w:p>
    <w:p w14:paraId="62C697BD"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https://youtu.be/wVZH2cvZbTo</w:t>
      </w:r>
    </w:p>
    <w:p w14:paraId="77B82A0A"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The calculations involved in reimbursement vary and can be intricate due to several factors, including:</w:t>
      </w:r>
    </w:p>
    <w:p w14:paraId="6F31AF8D"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Relative Value Units (RVUs): RV Us are assigned to medical procedures and services based on the time, skill, and resources required. These values are the basis for calculating reimbursement amounts under the Medicare Physician Fee Schedule (MPFS). RVUs consider three components: physician work, practice expenses, and professional liability insurance.</w:t>
      </w:r>
    </w:p>
    <w:p w14:paraId="6028A00B"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Diagnosis-Related Groups (DRGs): Third-party payers often employ the DRG system for inpatient services. DRGs </w:t>
      </w:r>
      <w:proofErr w:type="spellStart"/>
      <w:r w:rsidRPr="00FB687D">
        <w:rPr>
          <w:rFonts w:ascii="Times New Roman" w:eastAsia="Times New Roman" w:hAnsi="Times New Roman" w:cs="Times New Roman"/>
          <w:sz w:val="24"/>
          <w:szCs w:val="24"/>
        </w:rPr>
        <w:t>categorise</w:t>
      </w:r>
      <w:proofErr w:type="spellEnd"/>
      <w:r w:rsidRPr="00FB687D">
        <w:rPr>
          <w:rFonts w:ascii="Times New Roman" w:eastAsia="Times New Roman" w:hAnsi="Times New Roman" w:cs="Times New Roman"/>
          <w:sz w:val="24"/>
          <w:szCs w:val="24"/>
        </w:rPr>
        <w:t xml:space="preserve"> patients with similar diagnoses and treatments into groups, allowing for </w:t>
      </w:r>
      <w:proofErr w:type="spellStart"/>
      <w:r w:rsidRPr="00FB687D">
        <w:rPr>
          <w:rFonts w:ascii="Times New Roman" w:eastAsia="Times New Roman" w:hAnsi="Times New Roman" w:cs="Times New Roman"/>
          <w:sz w:val="24"/>
          <w:szCs w:val="24"/>
        </w:rPr>
        <w:t>standardised</w:t>
      </w:r>
      <w:proofErr w:type="spellEnd"/>
      <w:r w:rsidRPr="00FB687D">
        <w:rPr>
          <w:rFonts w:ascii="Times New Roman" w:eastAsia="Times New Roman" w:hAnsi="Times New Roman" w:cs="Times New Roman"/>
          <w:sz w:val="24"/>
          <w:szCs w:val="24"/>
        </w:rPr>
        <w:t xml:space="preserve"> reimbursement rates. The complexity and severity of the patient's condition determine the assigned DRG, influencing the reimbursement amount.</w:t>
      </w:r>
    </w:p>
    <w:p w14:paraId="1190AE86"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Negotiated Contracts: Private insurers negotiate contracts with healthcare providers, determining service reimbursement rates. These rates may vary depending on the insurer's network, geographic location, and other factors. Negotiated agreements can significantly impact the reimbursement levels physicians and healthcare systems receive.</w:t>
      </w:r>
    </w:p>
    <w:p w14:paraId="76840D10"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Comparing Reimbursement Levels: Understanding the disparities in reimbursement levels among different payers is crucial for healthcare providers. Reimbursement levels can significantly impact the financial stability and viability of healthcare </w:t>
      </w:r>
      <w:proofErr w:type="spellStart"/>
      <w:r w:rsidRPr="00FB687D">
        <w:rPr>
          <w:rFonts w:ascii="Times New Roman" w:eastAsia="Times New Roman" w:hAnsi="Times New Roman" w:cs="Times New Roman"/>
          <w:sz w:val="24"/>
          <w:szCs w:val="24"/>
        </w:rPr>
        <w:t>organisations</w:t>
      </w:r>
      <w:proofErr w:type="spellEnd"/>
      <w:r w:rsidRPr="00FB687D">
        <w:rPr>
          <w:rFonts w:ascii="Times New Roman" w:eastAsia="Times New Roman" w:hAnsi="Times New Roman" w:cs="Times New Roman"/>
          <w:sz w:val="24"/>
          <w:szCs w:val="24"/>
        </w:rPr>
        <w:t>. Some critical comparisons include:</w:t>
      </w:r>
    </w:p>
    <w:p w14:paraId="42F61C78"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 Private Insurances: Private insurances typically negotiate reimbursement rates with providers. These rates may vary based on the insurer's market power, geographic region, and provider's </w:t>
      </w:r>
      <w:proofErr w:type="spellStart"/>
      <w:r w:rsidRPr="00FB687D">
        <w:rPr>
          <w:rFonts w:ascii="Times New Roman" w:eastAsia="Times New Roman" w:hAnsi="Times New Roman" w:cs="Times New Roman"/>
          <w:sz w:val="24"/>
          <w:szCs w:val="24"/>
        </w:rPr>
        <w:t>speciality</w:t>
      </w:r>
      <w:proofErr w:type="spellEnd"/>
      <w:r w:rsidRPr="00FB687D">
        <w:rPr>
          <w:rFonts w:ascii="Times New Roman" w:eastAsia="Times New Roman" w:hAnsi="Times New Roman" w:cs="Times New Roman"/>
          <w:sz w:val="24"/>
          <w:szCs w:val="24"/>
        </w:rPr>
        <w:t>. Generally, private insurances offer higher reimbursement rates than government programs, but substantial variations exist across different plans and contracts.</w:t>
      </w:r>
    </w:p>
    <w:p w14:paraId="76AEF298"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Public/Government Programs:</w:t>
      </w:r>
    </w:p>
    <w:p w14:paraId="309DAA9B"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Public/government programs like Medicare, Medicaid, and SCHIPs provide healthcare coverage to specific populations. These programs often have predefined reimbursement rates, typically lower than private insurance. The MPFS determines Medicare reimbursement rates which can vary based on the locality and service provided.</w:t>
      </w:r>
    </w:p>
    <w:p w14:paraId="2BA6B9AD"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lastRenderedPageBreak/>
        <w:t>Uninsured and Underinsured: It is essential to acknowledge the impact of uninsured and underinsured individuals on reimbursement levels. Providers often need help receiving adequate reimbursement for services provided to these populations, leading to financial strain and potential cost shifting to other payers.</w:t>
      </w:r>
    </w:p>
    <w:p w14:paraId="362DF29F" w14:textId="77777777" w:rsidR="00FB687D" w:rsidRPr="00FB687D" w:rsidRDefault="00FB687D" w:rsidP="00FB687D">
      <w:pPr>
        <w:spacing w:before="100" w:beforeAutospacing="1" w:after="100" w:afterAutospacing="1" w:line="240" w:lineRule="auto"/>
        <w:outlineLvl w:val="4"/>
        <w:rPr>
          <w:rFonts w:ascii="Times New Roman" w:eastAsia="Times New Roman" w:hAnsi="Times New Roman" w:cs="Times New Roman"/>
          <w:b/>
          <w:bCs/>
          <w:sz w:val="20"/>
          <w:szCs w:val="20"/>
        </w:rPr>
      </w:pPr>
      <w:r w:rsidRPr="00FB687D">
        <w:rPr>
          <w:rFonts w:ascii="Times New Roman" w:eastAsia="Times New Roman" w:hAnsi="Times New Roman" w:cs="Times New Roman"/>
          <w:b/>
          <w:bCs/>
          <w:sz w:val="20"/>
          <w:szCs w:val="20"/>
        </w:rPr>
        <w:t>Conclusion Third-Party Payers</w:t>
      </w:r>
    </w:p>
    <w:p w14:paraId="1BC19043"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Third-party payers are a crucial revenue source for physicians and healthcare systems, reimbursing them for the services rendered. Understanding the various reimbursement methods, the factors influencing calculations, and the comparison of reimbursement levels among different payers is vital for healthcare providers. By comprehending these dynamics, providers can navigate the complex healthcare financing landscape and strive for sustainable and equitable reimbursement practices.</w:t>
      </w:r>
    </w:p>
    <w:p w14:paraId="6BC80D4A" w14:textId="77777777" w:rsidR="00FB687D" w:rsidRPr="00FB687D" w:rsidRDefault="00FB687D" w:rsidP="00FB687D">
      <w:p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References:</w:t>
      </w:r>
    </w:p>
    <w:p w14:paraId="74B2BD80"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Private Health Insurance Companies:</w:t>
      </w:r>
    </w:p>
    <w:p w14:paraId="081CCDD1"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UnitedHealth Group: </w:t>
      </w:r>
      <w:hyperlink r:id="rId6" w:tgtFrame="_new" w:history="1">
        <w:r w:rsidRPr="00FB687D">
          <w:rPr>
            <w:rFonts w:ascii="Times New Roman" w:eastAsia="Times New Roman" w:hAnsi="Times New Roman" w:cs="Times New Roman"/>
            <w:color w:val="0000FF"/>
            <w:sz w:val="24"/>
            <w:szCs w:val="24"/>
            <w:u w:val="single"/>
          </w:rPr>
          <w:t>https://www.uhc.com/</w:t>
        </w:r>
      </w:hyperlink>
    </w:p>
    <w:p w14:paraId="54107735"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Anthem, Inc.: </w:t>
      </w:r>
      <w:hyperlink r:id="rId7" w:tgtFrame="_new" w:history="1">
        <w:r w:rsidRPr="00FB687D">
          <w:rPr>
            <w:rFonts w:ascii="Times New Roman" w:eastAsia="Times New Roman" w:hAnsi="Times New Roman" w:cs="Times New Roman"/>
            <w:color w:val="0000FF"/>
            <w:sz w:val="24"/>
            <w:szCs w:val="24"/>
            <w:u w:val="single"/>
          </w:rPr>
          <w:t>https://www.anthem.com/</w:t>
        </w:r>
      </w:hyperlink>
    </w:p>
    <w:p w14:paraId="16BA1382"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Aetna Inc.: </w:t>
      </w:r>
      <w:hyperlink r:id="rId8" w:tgtFrame="_new" w:history="1">
        <w:r w:rsidRPr="00FB687D">
          <w:rPr>
            <w:rFonts w:ascii="Times New Roman" w:eastAsia="Times New Roman" w:hAnsi="Times New Roman" w:cs="Times New Roman"/>
            <w:color w:val="0000FF"/>
            <w:sz w:val="24"/>
            <w:szCs w:val="24"/>
            <w:u w:val="single"/>
          </w:rPr>
          <w:t>https://www.aetna.com/</w:t>
        </w:r>
      </w:hyperlink>
    </w:p>
    <w:p w14:paraId="7B8B213D"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Cigna Corporation: </w:t>
      </w:r>
      <w:hyperlink r:id="rId9" w:tgtFrame="_new" w:history="1">
        <w:r w:rsidRPr="00FB687D">
          <w:rPr>
            <w:rFonts w:ascii="Times New Roman" w:eastAsia="Times New Roman" w:hAnsi="Times New Roman" w:cs="Times New Roman"/>
            <w:color w:val="0000FF"/>
            <w:sz w:val="24"/>
            <w:szCs w:val="24"/>
            <w:u w:val="single"/>
          </w:rPr>
          <w:t>https://www.cigna.com/</w:t>
        </w:r>
      </w:hyperlink>
    </w:p>
    <w:p w14:paraId="23871826"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Humana Inc.: </w:t>
      </w:r>
      <w:hyperlink r:id="rId10" w:tgtFrame="_new" w:history="1">
        <w:r w:rsidRPr="00FB687D">
          <w:rPr>
            <w:rFonts w:ascii="Times New Roman" w:eastAsia="Times New Roman" w:hAnsi="Times New Roman" w:cs="Times New Roman"/>
            <w:color w:val="0000FF"/>
            <w:sz w:val="24"/>
            <w:szCs w:val="24"/>
            <w:u w:val="single"/>
          </w:rPr>
          <w:t>https://www.humana.com/</w:t>
        </w:r>
      </w:hyperlink>
    </w:p>
    <w:p w14:paraId="10B62E5E"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Government Health Insurance Programs:</w:t>
      </w:r>
    </w:p>
    <w:p w14:paraId="381D8758"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Centers for Medicare and Medicaid Services (CMS): </w:t>
      </w:r>
      <w:hyperlink r:id="rId11" w:tgtFrame="_new" w:history="1">
        <w:r w:rsidRPr="00FB687D">
          <w:rPr>
            <w:rFonts w:ascii="Times New Roman" w:eastAsia="Times New Roman" w:hAnsi="Times New Roman" w:cs="Times New Roman"/>
            <w:color w:val="0000FF"/>
            <w:sz w:val="24"/>
            <w:szCs w:val="24"/>
            <w:u w:val="single"/>
          </w:rPr>
          <w:t>https://www.cms.gov/</w:t>
        </w:r>
      </w:hyperlink>
    </w:p>
    <w:p w14:paraId="5FDE017A"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Medicare: </w:t>
      </w:r>
      <w:hyperlink r:id="rId12" w:tgtFrame="_new" w:history="1">
        <w:r w:rsidRPr="00FB687D">
          <w:rPr>
            <w:rFonts w:ascii="Times New Roman" w:eastAsia="Times New Roman" w:hAnsi="Times New Roman" w:cs="Times New Roman"/>
            <w:color w:val="0000FF"/>
            <w:sz w:val="24"/>
            <w:szCs w:val="24"/>
            <w:u w:val="single"/>
          </w:rPr>
          <w:t>https://www.medicare.gov/</w:t>
        </w:r>
      </w:hyperlink>
    </w:p>
    <w:p w14:paraId="62EB7C3C"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Medicaid: </w:t>
      </w:r>
      <w:hyperlink r:id="rId13" w:tgtFrame="_new" w:history="1">
        <w:r w:rsidRPr="00FB687D">
          <w:rPr>
            <w:rFonts w:ascii="Times New Roman" w:eastAsia="Times New Roman" w:hAnsi="Times New Roman" w:cs="Times New Roman"/>
            <w:color w:val="0000FF"/>
            <w:sz w:val="24"/>
            <w:szCs w:val="24"/>
            <w:u w:val="single"/>
          </w:rPr>
          <w:t>https://www.medicaid.gov/</w:t>
        </w:r>
      </w:hyperlink>
    </w:p>
    <w:p w14:paraId="7F09FE9B"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Workers' Compensation:</w:t>
      </w:r>
    </w:p>
    <w:p w14:paraId="3D798754"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American Association of State Compensation Insurance Funds (AASCIF): </w:t>
      </w:r>
      <w:hyperlink r:id="rId14" w:tgtFrame="_new" w:history="1">
        <w:r w:rsidRPr="00FB687D">
          <w:rPr>
            <w:rFonts w:ascii="Times New Roman" w:eastAsia="Times New Roman" w:hAnsi="Times New Roman" w:cs="Times New Roman"/>
            <w:color w:val="0000FF"/>
            <w:sz w:val="24"/>
            <w:szCs w:val="24"/>
            <w:u w:val="single"/>
          </w:rPr>
          <w:t>https://www.aascif.org/</w:t>
        </w:r>
      </w:hyperlink>
    </w:p>
    <w:p w14:paraId="7A4987A4"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National Council on Compensation Insurance (NCCI): </w:t>
      </w:r>
      <w:hyperlink r:id="rId15" w:tgtFrame="_new" w:history="1">
        <w:r w:rsidRPr="00FB687D">
          <w:rPr>
            <w:rFonts w:ascii="Times New Roman" w:eastAsia="Times New Roman" w:hAnsi="Times New Roman" w:cs="Times New Roman"/>
            <w:color w:val="0000FF"/>
            <w:sz w:val="24"/>
            <w:szCs w:val="24"/>
            <w:u w:val="single"/>
          </w:rPr>
          <w:t>https://www.ncci.com/</w:t>
        </w:r>
      </w:hyperlink>
    </w:p>
    <w:p w14:paraId="71E58E85"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Tricare (U.S. Department of Defense Health Program): </w:t>
      </w:r>
      <w:hyperlink r:id="rId16" w:tgtFrame="_new" w:history="1">
        <w:r w:rsidRPr="00FB687D">
          <w:rPr>
            <w:rFonts w:ascii="Times New Roman" w:eastAsia="Times New Roman" w:hAnsi="Times New Roman" w:cs="Times New Roman"/>
            <w:color w:val="0000FF"/>
            <w:sz w:val="24"/>
            <w:szCs w:val="24"/>
            <w:u w:val="single"/>
          </w:rPr>
          <w:t>https://tricare.mil/</w:t>
        </w:r>
      </w:hyperlink>
    </w:p>
    <w:p w14:paraId="0E996C8C"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Veterans Affairs (VA) Health Administration: </w:t>
      </w:r>
      <w:hyperlink r:id="rId17" w:tgtFrame="_new" w:history="1">
        <w:r w:rsidRPr="00FB687D">
          <w:rPr>
            <w:rFonts w:ascii="Times New Roman" w:eastAsia="Times New Roman" w:hAnsi="Times New Roman" w:cs="Times New Roman"/>
            <w:color w:val="0000FF"/>
            <w:sz w:val="24"/>
            <w:szCs w:val="24"/>
            <w:u w:val="single"/>
          </w:rPr>
          <w:t>https://www.va.gov/health/</w:t>
        </w:r>
      </w:hyperlink>
    </w:p>
    <w:p w14:paraId="2EE5DD73"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Pharmacy Benefit Managers (PBMs):</w:t>
      </w:r>
    </w:p>
    <w:p w14:paraId="436D4D28"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Express Scripts: </w:t>
      </w:r>
      <w:hyperlink r:id="rId18" w:tgtFrame="_new" w:history="1">
        <w:r w:rsidRPr="00FB687D">
          <w:rPr>
            <w:rFonts w:ascii="Times New Roman" w:eastAsia="Times New Roman" w:hAnsi="Times New Roman" w:cs="Times New Roman"/>
            <w:color w:val="0000FF"/>
            <w:sz w:val="24"/>
            <w:szCs w:val="24"/>
            <w:u w:val="single"/>
          </w:rPr>
          <w:t>https://www.express-scripts.com/</w:t>
        </w:r>
      </w:hyperlink>
    </w:p>
    <w:p w14:paraId="5335E334"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CVS Caremark: </w:t>
      </w:r>
      <w:hyperlink r:id="rId19" w:tgtFrame="_new" w:history="1">
        <w:r w:rsidRPr="00FB687D">
          <w:rPr>
            <w:rFonts w:ascii="Times New Roman" w:eastAsia="Times New Roman" w:hAnsi="Times New Roman" w:cs="Times New Roman"/>
            <w:color w:val="0000FF"/>
            <w:sz w:val="24"/>
            <w:szCs w:val="24"/>
            <w:u w:val="single"/>
          </w:rPr>
          <w:t>https://www.caremark.com/</w:t>
        </w:r>
      </w:hyperlink>
    </w:p>
    <w:p w14:paraId="555A1C67"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OptumRx: </w:t>
      </w:r>
      <w:hyperlink r:id="rId20" w:tgtFrame="_new" w:history="1">
        <w:r w:rsidRPr="00FB687D">
          <w:rPr>
            <w:rFonts w:ascii="Times New Roman" w:eastAsia="Times New Roman" w:hAnsi="Times New Roman" w:cs="Times New Roman"/>
            <w:color w:val="0000FF"/>
            <w:sz w:val="24"/>
            <w:szCs w:val="24"/>
            <w:u w:val="single"/>
          </w:rPr>
          <w:t>https://www.optumrx.com/</w:t>
        </w:r>
      </w:hyperlink>
    </w:p>
    <w:p w14:paraId="7D008570" w14:textId="77777777" w:rsidR="00FB687D" w:rsidRPr="00FB687D" w:rsidRDefault="00FB687D" w:rsidP="00FB68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Managed Care Organizations (MCOs):</w:t>
      </w:r>
    </w:p>
    <w:p w14:paraId="180C1AB7"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Kaiser Permanente: </w:t>
      </w:r>
      <w:hyperlink r:id="rId21" w:tgtFrame="_new" w:history="1">
        <w:r w:rsidRPr="00FB687D">
          <w:rPr>
            <w:rFonts w:ascii="Times New Roman" w:eastAsia="Times New Roman" w:hAnsi="Times New Roman" w:cs="Times New Roman"/>
            <w:color w:val="0000FF"/>
            <w:sz w:val="24"/>
            <w:szCs w:val="24"/>
            <w:u w:val="single"/>
          </w:rPr>
          <w:t>https://kaiserpermanente.org/</w:t>
        </w:r>
      </w:hyperlink>
    </w:p>
    <w:p w14:paraId="2369B03B" w14:textId="77777777" w:rsidR="00FB687D" w:rsidRPr="00FB687D" w:rsidRDefault="00FB687D" w:rsidP="00FB687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B687D">
        <w:rPr>
          <w:rFonts w:ascii="Times New Roman" w:eastAsia="Times New Roman" w:hAnsi="Times New Roman" w:cs="Times New Roman"/>
          <w:sz w:val="24"/>
          <w:szCs w:val="24"/>
        </w:rPr>
        <w:t xml:space="preserve">Blue Cross Blue Shield Association: </w:t>
      </w:r>
      <w:hyperlink r:id="rId22" w:tgtFrame="_new" w:history="1">
        <w:r w:rsidRPr="00FB687D">
          <w:rPr>
            <w:rFonts w:ascii="Times New Roman" w:eastAsia="Times New Roman" w:hAnsi="Times New Roman" w:cs="Times New Roman"/>
            <w:color w:val="0000FF"/>
            <w:sz w:val="24"/>
            <w:szCs w:val="24"/>
            <w:u w:val="single"/>
          </w:rPr>
          <w:t>https://www.bcbs.com/</w:t>
        </w:r>
      </w:hyperlink>
    </w:p>
    <w:bookmarkEnd w:id="0"/>
    <w:p w14:paraId="56ED99E1"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7A8"/>
    <w:multiLevelType w:val="multilevel"/>
    <w:tmpl w:val="DF880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7D"/>
    <w:rsid w:val="00603D40"/>
    <w:rsid w:val="00FB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BCE2"/>
  <w15:chartTrackingRefBased/>
  <w15:docId w15:val="{A7FFCEF4-C47F-4A9F-B3ED-F1CFE134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7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na.com/" TargetMode="External"/><Relationship Id="rId13" Type="http://schemas.openxmlformats.org/officeDocument/2006/relationships/hyperlink" Target="https://www.medicaid.gov/" TargetMode="External"/><Relationship Id="rId18" Type="http://schemas.openxmlformats.org/officeDocument/2006/relationships/hyperlink" Target="https://www.express-scripts.com/" TargetMode="External"/><Relationship Id="rId3" Type="http://schemas.openxmlformats.org/officeDocument/2006/relationships/settings" Target="settings.xml"/><Relationship Id="rId21" Type="http://schemas.openxmlformats.org/officeDocument/2006/relationships/hyperlink" Target="https://kaiserpermanente.org/" TargetMode="External"/><Relationship Id="rId7" Type="http://schemas.openxmlformats.org/officeDocument/2006/relationships/hyperlink" Target="https://www.anthem.com/" TargetMode="External"/><Relationship Id="rId12" Type="http://schemas.openxmlformats.org/officeDocument/2006/relationships/hyperlink" Target="https://www.medicare.gov/" TargetMode="External"/><Relationship Id="rId17" Type="http://schemas.openxmlformats.org/officeDocument/2006/relationships/hyperlink" Target="https://www.va.gov/health/" TargetMode="External"/><Relationship Id="rId2" Type="http://schemas.openxmlformats.org/officeDocument/2006/relationships/styles" Target="styles.xml"/><Relationship Id="rId16" Type="http://schemas.openxmlformats.org/officeDocument/2006/relationships/hyperlink" Target="https://tricare.mil/" TargetMode="External"/><Relationship Id="rId20" Type="http://schemas.openxmlformats.org/officeDocument/2006/relationships/hyperlink" Target="https://www.optumrx.com/" TargetMode="External"/><Relationship Id="rId1" Type="http://schemas.openxmlformats.org/officeDocument/2006/relationships/numbering" Target="numbering.xml"/><Relationship Id="rId6" Type="http://schemas.openxmlformats.org/officeDocument/2006/relationships/hyperlink" Target="https://www.uhc.com/" TargetMode="External"/><Relationship Id="rId11" Type="http://schemas.openxmlformats.org/officeDocument/2006/relationships/hyperlink" Target="https://www.cms.gov/"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ncci.com/" TargetMode="External"/><Relationship Id="rId23" Type="http://schemas.openxmlformats.org/officeDocument/2006/relationships/fontTable" Target="fontTable.xml"/><Relationship Id="rId10" Type="http://schemas.openxmlformats.org/officeDocument/2006/relationships/hyperlink" Target="https://www.humana.com/" TargetMode="External"/><Relationship Id="rId19" Type="http://schemas.openxmlformats.org/officeDocument/2006/relationships/hyperlink" Target="https://www.caremark.com/" TargetMode="External"/><Relationship Id="rId4" Type="http://schemas.openxmlformats.org/officeDocument/2006/relationships/webSettings" Target="webSettings.xml"/><Relationship Id="rId9" Type="http://schemas.openxmlformats.org/officeDocument/2006/relationships/hyperlink" Target="https://www.cigna.com/" TargetMode="External"/><Relationship Id="rId14" Type="http://schemas.openxmlformats.org/officeDocument/2006/relationships/hyperlink" Target="https://www.aascif.org/" TargetMode="External"/><Relationship Id="rId22" Type="http://schemas.openxmlformats.org/officeDocument/2006/relationships/hyperlink" Target="https://www.bc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2023-07-01T15:42:00Z</dcterms:created>
  <dcterms:modified xsi:type="dcterms:W3CDTF">2023-07-01T15:45:00Z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31dd2412-400c-416b-9dc3-bffc9cd8f08e</vt:lpwstr>
  </property>
</Properties>
</file>