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44AE" w14:textId="526840E2" w:rsidR="00B97280" w:rsidRDefault="001E7B28">
      <w:r>
        <w:t>Topic; Childhood obesity</w:t>
      </w:r>
    </w:p>
    <w:p w14:paraId="048E06DB" w14:textId="6A40EB4B" w:rsidR="001E7B28" w:rsidRDefault="001E7B28">
      <w:r>
        <w:t>Order Description</w:t>
      </w:r>
    </w:p>
    <w:p w14:paraId="578F85F8" w14:textId="705EEB41" w:rsidR="001E7B28" w:rsidRDefault="001E7B28">
      <w:r>
        <w:t>Childhood obesity</w:t>
      </w:r>
    </w:p>
    <w:sectPr w:rsidR="001E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28"/>
    <w:rsid w:val="001E7B28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10D9"/>
  <w15:chartTrackingRefBased/>
  <w15:docId w15:val="{C3B87731-C452-4BBF-913A-91FE088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2021-11-04T14:50:00Z</dcterms:created>
  <dcterms:modified xsi:type="dcterms:W3CDTF">2021-11-04T14:51:00Z</dcterms:modified>
</cp:coreProperties>
</file>