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BF0D" w14:textId="77777777" w:rsidR="00F21C65" w:rsidRPr="00F21C65" w:rsidRDefault="00F21C65" w:rsidP="00F21C65">
      <w:pPr>
        <w:spacing w:after="0" w:line="480" w:lineRule="auto"/>
        <w:ind w:firstLine="0"/>
        <w:jc w:val="center"/>
        <w:rPr>
          <w:rFonts w:ascii="Times New Roman" w:hAnsi="Times New Roman" w:cs="Times New Roman"/>
          <w:sz w:val="24"/>
          <w:szCs w:val="24"/>
        </w:rPr>
      </w:pPr>
    </w:p>
    <w:p w14:paraId="696D5F12" w14:textId="15F3864B" w:rsidR="00CA75E6" w:rsidRDefault="00CA75E6" w:rsidP="00B008DD">
      <w:pPr>
        <w:spacing w:after="0" w:line="480" w:lineRule="auto"/>
        <w:ind w:firstLine="0"/>
        <w:rPr>
          <w:rFonts w:ascii="Times New Roman" w:hAnsi="Times New Roman" w:cs="Times New Roman"/>
          <w:b/>
          <w:sz w:val="24"/>
          <w:szCs w:val="24"/>
        </w:rPr>
      </w:pPr>
    </w:p>
    <w:p w14:paraId="23E51B4B" w14:textId="77777777" w:rsidR="00F21C65" w:rsidRDefault="00F21C65" w:rsidP="00F21C65">
      <w:pPr>
        <w:spacing w:after="0" w:line="480" w:lineRule="auto"/>
        <w:ind w:firstLine="0"/>
        <w:jc w:val="center"/>
        <w:rPr>
          <w:rFonts w:ascii="Times New Roman" w:hAnsi="Times New Roman" w:cs="Times New Roman"/>
          <w:sz w:val="24"/>
          <w:szCs w:val="24"/>
        </w:rPr>
      </w:pPr>
    </w:p>
    <w:p w14:paraId="2754D959" w14:textId="77777777" w:rsidR="00F21C65" w:rsidRDefault="00F21C65" w:rsidP="00F21C65">
      <w:pPr>
        <w:spacing w:after="0" w:line="480" w:lineRule="auto"/>
        <w:ind w:firstLine="0"/>
        <w:jc w:val="center"/>
        <w:rPr>
          <w:rFonts w:ascii="Times New Roman" w:hAnsi="Times New Roman" w:cs="Times New Roman"/>
          <w:sz w:val="24"/>
          <w:szCs w:val="24"/>
        </w:rPr>
      </w:pPr>
    </w:p>
    <w:p w14:paraId="7D2301A5" w14:textId="77777777" w:rsidR="00F21C65" w:rsidRDefault="00F21C65" w:rsidP="00F21C65">
      <w:pPr>
        <w:spacing w:after="0" w:line="480" w:lineRule="auto"/>
        <w:ind w:firstLine="0"/>
        <w:jc w:val="center"/>
        <w:rPr>
          <w:rFonts w:ascii="Times New Roman" w:hAnsi="Times New Roman" w:cs="Times New Roman"/>
          <w:sz w:val="24"/>
          <w:szCs w:val="24"/>
        </w:rPr>
      </w:pPr>
    </w:p>
    <w:p w14:paraId="430320BC" w14:textId="77777777" w:rsidR="00F21C65" w:rsidRDefault="00F21C65" w:rsidP="00F21C65">
      <w:pPr>
        <w:spacing w:after="0" w:line="480" w:lineRule="auto"/>
        <w:ind w:firstLine="0"/>
        <w:jc w:val="center"/>
        <w:rPr>
          <w:rFonts w:ascii="Times New Roman" w:hAnsi="Times New Roman" w:cs="Times New Roman"/>
          <w:sz w:val="24"/>
          <w:szCs w:val="24"/>
        </w:rPr>
      </w:pPr>
    </w:p>
    <w:p w14:paraId="5AF97938" w14:textId="77777777" w:rsidR="00B008DD" w:rsidRDefault="00B008DD" w:rsidP="00F21C65">
      <w:pPr>
        <w:spacing w:after="0" w:line="480" w:lineRule="auto"/>
        <w:ind w:firstLine="0"/>
        <w:jc w:val="center"/>
        <w:rPr>
          <w:rFonts w:ascii="Times New Roman" w:hAnsi="Times New Roman" w:cs="Times New Roman"/>
          <w:sz w:val="24"/>
          <w:szCs w:val="24"/>
        </w:rPr>
      </w:pPr>
    </w:p>
    <w:p w14:paraId="7DA3DC5E" w14:textId="77777777" w:rsidR="005F6DC7" w:rsidRDefault="005F6DC7" w:rsidP="00F21C65">
      <w:pPr>
        <w:spacing w:after="0" w:line="480" w:lineRule="auto"/>
        <w:ind w:firstLine="0"/>
        <w:jc w:val="center"/>
        <w:rPr>
          <w:rFonts w:ascii="Times New Roman" w:hAnsi="Times New Roman" w:cs="Times New Roman"/>
          <w:sz w:val="24"/>
          <w:szCs w:val="24"/>
        </w:rPr>
      </w:pPr>
    </w:p>
    <w:p w14:paraId="3C96A507" w14:textId="77777777" w:rsidR="005F6DC7" w:rsidRDefault="005F6DC7" w:rsidP="00F21C65">
      <w:pPr>
        <w:spacing w:after="0" w:line="480" w:lineRule="auto"/>
        <w:ind w:firstLine="0"/>
        <w:jc w:val="center"/>
        <w:rPr>
          <w:rFonts w:ascii="Times New Roman" w:hAnsi="Times New Roman" w:cs="Times New Roman"/>
          <w:sz w:val="24"/>
          <w:szCs w:val="24"/>
        </w:rPr>
      </w:pPr>
    </w:p>
    <w:p w14:paraId="6A0BA7A2" w14:textId="3A89E646" w:rsidR="00F21C65" w:rsidRDefault="002C0034" w:rsidP="00F21C65">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Name</w:t>
      </w:r>
    </w:p>
    <w:p w14:paraId="5C2ADBCC" w14:textId="5753EFC0" w:rsidR="00F21C65" w:rsidRDefault="00B008DD" w:rsidP="00F21C65">
      <w:pPr>
        <w:spacing w:after="0" w:line="480" w:lineRule="auto"/>
        <w:ind w:firstLine="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University</w:t>
      </w:r>
    </w:p>
    <w:p w14:paraId="733F1B2A" w14:textId="3DAA234A" w:rsidR="00F21C65" w:rsidRDefault="00B008DD" w:rsidP="00F21C65">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IHP 430</w:t>
      </w:r>
    </w:p>
    <w:p w14:paraId="57021657" w14:textId="10BD1335" w:rsidR="00F21C65" w:rsidRDefault="00B008DD" w:rsidP="00F21C65">
      <w:pPr>
        <w:spacing w:after="0" w:line="480" w:lineRule="auto"/>
        <w:ind w:firstLine="0"/>
        <w:jc w:val="center"/>
        <w:rPr>
          <w:rFonts w:ascii="Times New Roman" w:hAnsi="Times New Roman" w:cs="Times New Roman"/>
          <w:sz w:val="24"/>
          <w:szCs w:val="24"/>
        </w:rPr>
      </w:pPr>
      <w:r>
        <w:rPr>
          <w:rFonts w:ascii="Times New Roman" w:hAnsi="Times New Roman" w:cs="Times New Roman"/>
          <w:sz w:val="24"/>
          <w:szCs w:val="24"/>
        </w:rPr>
        <w:t>10/1</w:t>
      </w:r>
      <w:r w:rsidR="00381E94">
        <w:rPr>
          <w:rFonts w:ascii="Times New Roman" w:hAnsi="Times New Roman" w:cs="Times New Roman"/>
          <w:sz w:val="24"/>
          <w:szCs w:val="24"/>
        </w:rPr>
        <w:t>6</w:t>
      </w:r>
      <w:r>
        <w:rPr>
          <w:rFonts w:ascii="Times New Roman" w:hAnsi="Times New Roman" w:cs="Times New Roman"/>
          <w:sz w:val="24"/>
          <w:szCs w:val="24"/>
        </w:rPr>
        <w:t>/2021</w:t>
      </w:r>
    </w:p>
    <w:p w14:paraId="061FD9A8" w14:textId="2F8118DE" w:rsidR="00F21C65" w:rsidRDefault="00F21C65" w:rsidP="00B008DD">
      <w:pPr>
        <w:spacing w:after="0" w:line="480"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0EEDB18A" w14:textId="77777777" w:rsidR="00D3471E" w:rsidRPr="00B008DD" w:rsidRDefault="00EC72BF" w:rsidP="00F21C65">
      <w:pPr>
        <w:spacing w:after="0" w:line="480" w:lineRule="auto"/>
        <w:ind w:firstLine="0"/>
        <w:jc w:val="center"/>
        <w:rPr>
          <w:rFonts w:ascii="Times New Roman" w:hAnsi="Times New Roman" w:cs="Times New Roman"/>
          <w:b/>
          <w:bCs/>
          <w:sz w:val="24"/>
          <w:szCs w:val="24"/>
        </w:rPr>
      </w:pPr>
      <w:r w:rsidRPr="00B008DD">
        <w:rPr>
          <w:rFonts w:ascii="Times New Roman" w:hAnsi="Times New Roman" w:cs="Times New Roman"/>
          <w:b/>
          <w:bCs/>
          <w:sz w:val="24"/>
          <w:szCs w:val="24"/>
        </w:rPr>
        <w:lastRenderedPageBreak/>
        <w:t xml:space="preserve">The </w:t>
      </w:r>
      <w:r w:rsidR="00F21C65" w:rsidRPr="00B008DD">
        <w:rPr>
          <w:rFonts w:ascii="Times New Roman" w:hAnsi="Times New Roman" w:cs="Times New Roman"/>
          <w:b/>
          <w:bCs/>
          <w:sz w:val="24"/>
          <w:szCs w:val="24"/>
        </w:rPr>
        <w:t xml:space="preserve">Success </w:t>
      </w:r>
      <w:r w:rsidRPr="00B008DD">
        <w:rPr>
          <w:rFonts w:ascii="Times New Roman" w:hAnsi="Times New Roman" w:cs="Times New Roman"/>
          <w:b/>
          <w:bCs/>
          <w:sz w:val="24"/>
          <w:szCs w:val="24"/>
        </w:rPr>
        <w:t>of the Performance Improvement Plan</w:t>
      </w:r>
    </w:p>
    <w:p w14:paraId="52439ACD" w14:textId="77777777" w:rsidR="00B008DD" w:rsidRDefault="00B008DD" w:rsidP="00F21C65">
      <w:pPr>
        <w:spacing w:after="0" w:line="480" w:lineRule="auto"/>
        <w:ind w:firstLine="0"/>
        <w:rPr>
          <w:rFonts w:ascii="Times New Roman" w:hAnsi="Times New Roman" w:cs="Times New Roman"/>
          <w:b/>
          <w:i/>
          <w:iCs/>
          <w:sz w:val="24"/>
          <w:szCs w:val="24"/>
        </w:rPr>
      </w:pPr>
    </w:p>
    <w:p w14:paraId="4FC0B4C1" w14:textId="06A3BAD8" w:rsidR="001D37C2" w:rsidRPr="00B008DD" w:rsidRDefault="00EC72BF" w:rsidP="00F21C65">
      <w:pPr>
        <w:spacing w:after="0" w:line="480" w:lineRule="auto"/>
        <w:ind w:firstLine="0"/>
        <w:rPr>
          <w:rFonts w:ascii="Times New Roman" w:hAnsi="Times New Roman" w:cs="Times New Roman"/>
          <w:b/>
          <w:i/>
          <w:iCs/>
          <w:sz w:val="24"/>
          <w:szCs w:val="24"/>
        </w:rPr>
      </w:pPr>
      <w:r w:rsidRPr="00B008DD">
        <w:rPr>
          <w:rFonts w:ascii="Times New Roman" w:hAnsi="Times New Roman" w:cs="Times New Roman"/>
          <w:b/>
          <w:i/>
          <w:iCs/>
          <w:sz w:val="24"/>
          <w:szCs w:val="24"/>
        </w:rPr>
        <w:t>Financial Implications of the Improvement Initiative</w:t>
      </w:r>
    </w:p>
    <w:p w14:paraId="2EE31DBE" w14:textId="1A995A0A" w:rsidR="00F21C65"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The success of the proposed improvement project will result in improved communication, skills, and knowledge among the employees. </w:t>
      </w:r>
      <w:r w:rsidR="00B008DD">
        <w:rPr>
          <w:rFonts w:ascii="Times New Roman" w:hAnsi="Times New Roman" w:cs="Times New Roman"/>
          <w:sz w:val="24"/>
          <w:szCs w:val="24"/>
        </w:rPr>
        <w:t xml:space="preserve"> </w:t>
      </w:r>
      <w:r w:rsidR="009E681F" w:rsidRPr="00D3471E">
        <w:rPr>
          <w:rFonts w:ascii="Times New Roman" w:hAnsi="Times New Roman" w:cs="Times New Roman"/>
          <w:sz w:val="24"/>
          <w:szCs w:val="24"/>
        </w:rPr>
        <w:t>A</w:t>
      </w:r>
      <w:r w:rsidRPr="00D3471E">
        <w:rPr>
          <w:rFonts w:ascii="Times New Roman" w:hAnsi="Times New Roman" w:cs="Times New Roman"/>
          <w:sz w:val="24"/>
          <w:szCs w:val="24"/>
        </w:rPr>
        <w:t>ccording to Ertan and Sesen (2019), a</w:t>
      </w:r>
      <w:r w:rsidR="009E681F" w:rsidRPr="00D3471E">
        <w:rPr>
          <w:rFonts w:ascii="Times New Roman" w:hAnsi="Times New Roman" w:cs="Times New Roman"/>
          <w:sz w:val="24"/>
          <w:szCs w:val="24"/>
        </w:rPr>
        <w:t xml:space="preserve">dequate training and communication among care practitioners influences the quality of care, facilitates food decision-making, job satisfaction, and significantly impacts </w:t>
      </w:r>
      <w:r w:rsidR="00B12211" w:rsidRPr="00D3471E">
        <w:rPr>
          <w:rFonts w:ascii="Times New Roman" w:hAnsi="Times New Roman" w:cs="Times New Roman"/>
          <w:sz w:val="24"/>
          <w:szCs w:val="24"/>
        </w:rPr>
        <w:t xml:space="preserve">patient safety. </w:t>
      </w:r>
      <w:r w:rsidR="00B008DD">
        <w:rPr>
          <w:rFonts w:ascii="Times New Roman" w:hAnsi="Times New Roman" w:cs="Times New Roman"/>
          <w:sz w:val="24"/>
          <w:szCs w:val="24"/>
        </w:rPr>
        <w:t xml:space="preserve"> </w:t>
      </w:r>
      <w:r w:rsidR="00B12211" w:rsidRPr="00D3471E">
        <w:rPr>
          <w:rFonts w:ascii="Times New Roman" w:hAnsi="Times New Roman" w:cs="Times New Roman"/>
          <w:sz w:val="24"/>
          <w:szCs w:val="24"/>
        </w:rPr>
        <w:t>In addition to i</w:t>
      </w:r>
      <w:r w:rsidR="009E681F" w:rsidRPr="00D3471E">
        <w:rPr>
          <w:rFonts w:ascii="Times New Roman" w:hAnsi="Times New Roman" w:cs="Times New Roman"/>
          <w:sz w:val="24"/>
          <w:szCs w:val="24"/>
        </w:rPr>
        <w:t xml:space="preserve">mproving the quality of care and patient safety, the initiative will help cut the costs of </w:t>
      </w:r>
      <w:r w:rsidR="003C431A" w:rsidRPr="00D3471E">
        <w:rPr>
          <w:rFonts w:ascii="Times New Roman" w:hAnsi="Times New Roman" w:cs="Times New Roman"/>
          <w:sz w:val="24"/>
          <w:szCs w:val="24"/>
        </w:rPr>
        <w:t xml:space="preserve">care, hence avoiding unnecessary time and resource wastages. </w:t>
      </w:r>
      <w:r w:rsidR="00B008DD">
        <w:rPr>
          <w:rFonts w:ascii="Times New Roman" w:hAnsi="Times New Roman" w:cs="Times New Roman"/>
          <w:sz w:val="24"/>
          <w:szCs w:val="24"/>
        </w:rPr>
        <w:t xml:space="preserve"> </w:t>
      </w:r>
      <w:r w:rsidR="003C431A" w:rsidRPr="00D3471E">
        <w:rPr>
          <w:rFonts w:ascii="Times New Roman" w:hAnsi="Times New Roman" w:cs="Times New Roman"/>
          <w:sz w:val="24"/>
          <w:szCs w:val="24"/>
        </w:rPr>
        <w:t>A primary implication of inadequate employee training and poor communication is delaye</w:t>
      </w:r>
      <w:r w:rsidR="00942995" w:rsidRPr="00D3471E">
        <w:rPr>
          <w:rFonts w:ascii="Times New Roman" w:hAnsi="Times New Roman" w:cs="Times New Roman"/>
          <w:sz w:val="24"/>
          <w:szCs w:val="24"/>
        </w:rPr>
        <w:t>d, inappropriate or expensive treatment and medical errors, which ultimately increases the costs of treatment</w:t>
      </w:r>
      <w:r w:rsidR="00B12211" w:rsidRPr="00D3471E">
        <w:rPr>
          <w:rFonts w:ascii="Times New Roman" w:hAnsi="Times New Roman" w:cs="Times New Roman"/>
          <w:sz w:val="24"/>
          <w:szCs w:val="24"/>
        </w:rPr>
        <w:t xml:space="preserve"> (Iliopoulos et al., 2018)</w:t>
      </w:r>
      <w:r w:rsidR="00942995"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942995" w:rsidRPr="00D3471E">
        <w:rPr>
          <w:rFonts w:ascii="Times New Roman" w:hAnsi="Times New Roman" w:cs="Times New Roman"/>
          <w:sz w:val="24"/>
          <w:szCs w:val="24"/>
        </w:rPr>
        <w:t xml:space="preserve">As a healthcare provider, </w:t>
      </w:r>
      <w:r w:rsidR="005630FB" w:rsidRPr="00D3471E">
        <w:rPr>
          <w:rFonts w:ascii="Times New Roman" w:hAnsi="Times New Roman" w:cs="Times New Roman"/>
          <w:sz w:val="24"/>
          <w:szCs w:val="24"/>
        </w:rPr>
        <w:t xml:space="preserve">one of the ABC Hospital of Texas's priorities is liability elimination. </w:t>
      </w:r>
      <w:r w:rsidR="00B008DD">
        <w:rPr>
          <w:rFonts w:ascii="Times New Roman" w:hAnsi="Times New Roman" w:cs="Times New Roman"/>
          <w:sz w:val="24"/>
          <w:szCs w:val="24"/>
        </w:rPr>
        <w:t xml:space="preserve"> </w:t>
      </w:r>
      <w:r w:rsidR="005630FB" w:rsidRPr="00D3471E">
        <w:rPr>
          <w:rFonts w:ascii="Times New Roman" w:hAnsi="Times New Roman" w:cs="Times New Roman"/>
          <w:sz w:val="24"/>
          <w:szCs w:val="24"/>
        </w:rPr>
        <w:t xml:space="preserve">When patients undergo wrong diagnoses, delayed or improper treatments, or incorrect medications due to </w:t>
      </w:r>
      <w:r w:rsidR="00D3471E" w:rsidRPr="00D3471E">
        <w:rPr>
          <w:rFonts w:ascii="Times New Roman" w:hAnsi="Times New Roman" w:cs="Times New Roman"/>
          <w:sz w:val="24"/>
          <w:szCs w:val="24"/>
        </w:rPr>
        <w:t>employees’</w:t>
      </w:r>
      <w:r w:rsidR="005630FB" w:rsidRPr="00D3471E">
        <w:rPr>
          <w:rFonts w:ascii="Times New Roman" w:hAnsi="Times New Roman" w:cs="Times New Roman"/>
          <w:sz w:val="24"/>
          <w:szCs w:val="24"/>
        </w:rPr>
        <w:t xml:space="preserve"> inadequacy or poor communication, </w:t>
      </w:r>
      <w:r w:rsidR="00850139" w:rsidRPr="00D3471E">
        <w:rPr>
          <w:rFonts w:ascii="Times New Roman" w:hAnsi="Times New Roman" w:cs="Times New Roman"/>
          <w:sz w:val="24"/>
          <w:szCs w:val="24"/>
        </w:rPr>
        <w:t>the facility suffers reputational and financial consequences.</w:t>
      </w:r>
    </w:p>
    <w:p w14:paraId="59F8BC64" w14:textId="6F6E4A4F" w:rsidR="001D37C2" w:rsidRPr="00D3471E"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 Proper training and communication will increase the competency of the healthcare professionals at ABC Hospital of Texas, saving the company from financial and time wastages by reducing errors that may directly or indirectly cost the hospital, such as lawsuits for wrong medications or negligence. </w:t>
      </w:r>
      <w:r w:rsidR="00B008DD">
        <w:rPr>
          <w:rFonts w:ascii="Times New Roman" w:hAnsi="Times New Roman" w:cs="Times New Roman"/>
          <w:sz w:val="24"/>
          <w:szCs w:val="24"/>
        </w:rPr>
        <w:t xml:space="preserve"> </w:t>
      </w:r>
      <w:r w:rsidR="004D7ED3" w:rsidRPr="00D3471E">
        <w:rPr>
          <w:rFonts w:ascii="Times New Roman" w:hAnsi="Times New Roman" w:cs="Times New Roman"/>
          <w:sz w:val="24"/>
          <w:szCs w:val="24"/>
        </w:rPr>
        <w:t>Employees</w:t>
      </w:r>
      <w:r w:rsidR="00460522" w:rsidRPr="00D3471E">
        <w:rPr>
          <w:rFonts w:ascii="Times New Roman" w:hAnsi="Times New Roman" w:cs="Times New Roman"/>
          <w:sz w:val="24"/>
          <w:szCs w:val="24"/>
        </w:rPr>
        <w:t xml:space="preserve"> will also be able to attend to patients promptly and effectively, saving time, allowing the facility to serve more patients, and avoid prolonged hospital stays and readmissions</w:t>
      </w:r>
      <w:r w:rsidR="00B2503B" w:rsidRPr="00D3471E">
        <w:rPr>
          <w:rFonts w:ascii="Times New Roman" w:hAnsi="Times New Roman" w:cs="Times New Roman"/>
          <w:sz w:val="24"/>
          <w:szCs w:val="24"/>
        </w:rPr>
        <w:t xml:space="preserve"> (Ertan &amp; Sesen, 2019)</w:t>
      </w:r>
      <w:r w:rsidR="00460522"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4D7ED3">
        <w:rPr>
          <w:rFonts w:ascii="Times New Roman" w:hAnsi="Times New Roman" w:cs="Times New Roman"/>
          <w:sz w:val="24"/>
          <w:szCs w:val="24"/>
        </w:rPr>
        <w:t>Further</w:t>
      </w:r>
      <w:r w:rsidR="00460522" w:rsidRPr="00D3471E">
        <w:rPr>
          <w:rFonts w:ascii="Times New Roman" w:hAnsi="Times New Roman" w:cs="Times New Roman"/>
          <w:sz w:val="24"/>
          <w:szCs w:val="24"/>
        </w:rPr>
        <w:t xml:space="preserve">, employees will be equipped with relevant skills to prevent mistakes such as wrong record keeping and inventory errors that cost the hospital millions through wastages. </w:t>
      </w:r>
      <w:r w:rsidR="00B008DD">
        <w:rPr>
          <w:rFonts w:ascii="Times New Roman" w:hAnsi="Times New Roman" w:cs="Times New Roman"/>
          <w:sz w:val="24"/>
          <w:szCs w:val="24"/>
        </w:rPr>
        <w:t xml:space="preserve"> </w:t>
      </w:r>
      <w:r w:rsidR="00B2503B" w:rsidRPr="00D3471E">
        <w:rPr>
          <w:rFonts w:ascii="Times New Roman" w:hAnsi="Times New Roman" w:cs="Times New Roman"/>
          <w:sz w:val="24"/>
          <w:szCs w:val="24"/>
        </w:rPr>
        <w:t>Adequate employee training and communication will also lead to workers' satisfaction hence reduc</w:t>
      </w:r>
      <w:r w:rsidR="00F21C65">
        <w:rPr>
          <w:rFonts w:ascii="Times New Roman" w:hAnsi="Times New Roman" w:cs="Times New Roman"/>
          <w:sz w:val="24"/>
          <w:szCs w:val="24"/>
        </w:rPr>
        <w:t>ing turnover and related costs.</w:t>
      </w:r>
    </w:p>
    <w:p w14:paraId="36603546" w14:textId="77777777" w:rsidR="0040000D" w:rsidRPr="00B008DD" w:rsidRDefault="00EC72BF" w:rsidP="00F21C65">
      <w:pPr>
        <w:spacing w:after="0" w:line="480" w:lineRule="auto"/>
        <w:ind w:firstLine="0"/>
        <w:rPr>
          <w:rFonts w:ascii="Times New Roman" w:hAnsi="Times New Roman" w:cs="Times New Roman"/>
          <w:b/>
          <w:i/>
          <w:iCs/>
          <w:sz w:val="24"/>
          <w:szCs w:val="24"/>
        </w:rPr>
      </w:pPr>
      <w:r w:rsidRPr="00B008DD">
        <w:rPr>
          <w:rFonts w:ascii="Times New Roman" w:hAnsi="Times New Roman" w:cs="Times New Roman"/>
          <w:b/>
          <w:i/>
          <w:iCs/>
          <w:sz w:val="24"/>
          <w:szCs w:val="24"/>
        </w:rPr>
        <w:lastRenderedPageBreak/>
        <w:t>Impacts of the Existing Information Management</w:t>
      </w:r>
      <w:r w:rsidR="00F21C65" w:rsidRPr="00B008DD">
        <w:rPr>
          <w:rFonts w:ascii="Times New Roman" w:hAnsi="Times New Roman" w:cs="Times New Roman"/>
          <w:b/>
          <w:i/>
          <w:iCs/>
          <w:sz w:val="24"/>
          <w:szCs w:val="24"/>
        </w:rPr>
        <w:t xml:space="preserve"> Systems on the Project Success</w:t>
      </w:r>
    </w:p>
    <w:p w14:paraId="23E89C51" w14:textId="0A5C570C" w:rsidR="000A471F" w:rsidRPr="00D3471E"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Information management systems will help in gathering, compiling, and analyzing health data to aid in the management of the employees' training needs, and weaknesses in the communication syste</w:t>
      </w:r>
      <w:r w:rsidR="00B751D0" w:rsidRPr="00D3471E">
        <w:rPr>
          <w:rFonts w:ascii="Times New Roman" w:hAnsi="Times New Roman" w:cs="Times New Roman"/>
          <w:sz w:val="24"/>
          <w:szCs w:val="24"/>
        </w:rPr>
        <w:t xml:space="preserve">ms across ABC Hospital of Texas. </w:t>
      </w:r>
      <w:r w:rsidR="00B008DD">
        <w:rPr>
          <w:rFonts w:ascii="Times New Roman" w:hAnsi="Times New Roman" w:cs="Times New Roman"/>
          <w:sz w:val="24"/>
          <w:szCs w:val="24"/>
        </w:rPr>
        <w:t xml:space="preserve"> </w:t>
      </w:r>
      <w:r w:rsidR="00B751D0" w:rsidRPr="00D3471E">
        <w:rPr>
          <w:rFonts w:ascii="Times New Roman" w:hAnsi="Times New Roman" w:cs="Times New Roman"/>
          <w:sz w:val="24"/>
          <w:szCs w:val="24"/>
        </w:rPr>
        <w:t>The hospital has various information management systems that will support the proposed quality improvement by facilitating workers</w:t>
      </w:r>
      <w:r w:rsidR="007E62A9">
        <w:rPr>
          <w:rFonts w:ascii="Times New Roman" w:hAnsi="Times New Roman" w:cs="Times New Roman"/>
          <w:sz w:val="24"/>
          <w:szCs w:val="24"/>
        </w:rPr>
        <w:t>’</w:t>
      </w:r>
      <w:r w:rsidR="00B751D0" w:rsidRPr="00D3471E">
        <w:rPr>
          <w:rFonts w:ascii="Times New Roman" w:hAnsi="Times New Roman" w:cs="Times New Roman"/>
          <w:sz w:val="24"/>
          <w:szCs w:val="24"/>
        </w:rPr>
        <w:t xml:space="preserve"> training and communication im</w:t>
      </w:r>
      <w:r w:rsidR="00C113D1" w:rsidRPr="00D3471E">
        <w:rPr>
          <w:rFonts w:ascii="Times New Roman" w:hAnsi="Times New Roman" w:cs="Times New Roman"/>
          <w:sz w:val="24"/>
          <w:szCs w:val="24"/>
        </w:rPr>
        <w:t>provement</w:t>
      </w:r>
      <w:r w:rsidR="007E62A9">
        <w:rPr>
          <w:rFonts w:ascii="Times New Roman" w:hAnsi="Times New Roman" w:cs="Times New Roman"/>
          <w:sz w:val="24"/>
          <w:szCs w:val="24"/>
        </w:rPr>
        <w:t>s</w:t>
      </w:r>
      <w:r w:rsidR="00C113D1"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C113D1" w:rsidRPr="00D3471E">
        <w:rPr>
          <w:rFonts w:ascii="Times New Roman" w:hAnsi="Times New Roman" w:cs="Times New Roman"/>
          <w:sz w:val="24"/>
          <w:szCs w:val="24"/>
        </w:rPr>
        <w:t>One of AB</w:t>
      </w:r>
      <w:r w:rsidR="007E62A9">
        <w:rPr>
          <w:rFonts w:ascii="Times New Roman" w:hAnsi="Times New Roman" w:cs="Times New Roman"/>
          <w:sz w:val="24"/>
          <w:szCs w:val="24"/>
        </w:rPr>
        <w:t>C</w:t>
      </w:r>
      <w:r w:rsidR="00C113D1" w:rsidRPr="00D3471E">
        <w:rPr>
          <w:rFonts w:ascii="Times New Roman" w:hAnsi="Times New Roman" w:cs="Times New Roman"/>
          <w:sz w:val="24"/>
          <w:szCs w:val="24"/>
        </w:rPr>
        <w:t xml:space="preserve"> Hospital of Texas</w:t>
      </w:r>
      <w:r w:rsidR="00D55038">
        <w:rPr>
          <w:rFonts w:ascii="Times New Roman" w:hAnsi="Times New Roman" w:cs="Times New Roman"/>
          <w:sz w:val="24"/>
          <w:szCs w:val="24"/>
        </w:rPr>
        <w:t>’</w:t>
      </w:r>
      <w:r w:rsidR="00C113D1" w:rsidRPr="00D3471E">
        <w:rPr>
          <w:rFonts w:ascii="Times New Roman" w:hAnsi="Times New Roman" w:cs="Times New Roman"/>
          <w:sz w:val="24"/>
          <w:szCs w:val="24"/>
        </w:rPr>
        <w:t xml:space="preserve"> information management systems that will significantly support this initiative is the employee portal</w:t>
      </w:r>
      <w:r w:rsidR="00D55038">
        <w:rPr>
          <w:rFonts w:ascii="Times New Roman" w:hAnsi="Times New Roman" w:cs="Times New Roman"/>
          <w:sz w:val="24"/>
          <w:szCs w:val="24"/>
        </w:rPr>
        <w:t>,</w:t>
      </w:r>
      <w:r w:rsidR="001B7807" w:rsidRPr="00D3471E">
        <w:rPr>
          <w:rFonts w:ascii="Times New Roman" w:hAnsi="Times New Roman" w:cs="Times New Roman"/>
          <w:sz w:val="24"/>
          <w:szCs w:val="24"/>
        </w:rPr>
        <w:t xml:space="preserve"> which will provide an engagement platform. </w:t>
      </w:r>
      <w:r w:rsidR="00B008DD">
        <w:rPr>
          <w:rFonts w:ascii="Times New Roman" w:hAnsi="Times New Roman" w:cs="Times New Roman"/>
          <w:sz w:val="24"/>
          <w:szCs w:val="24"/>
        </w:rPr>
        <w:t xml:space="preserve"> </w:t>
      </w:r>
      <w:r w:rsidR="001B7807" w:rsidRPr="00D3471E">
        <w:rPr>
          <w:rFonts w:ascii="Times New Roman" w:hAnsi="Times New Roman" w:cs="Times New Roman"/>
          <w:sz w:val="24"/>
          <w:szCs w:val="24"/>
        </w:rPr>
        <w:t xml:space="preserve">Through the employee portal, the </w:t>
      </w:r>
      <w:r w:rsidR="00D54EEF" w:rsidRPr="00D3471E">
        <w:rPr>
          <w:rFonts w:ascii="Times New Roman" w:hAnsi="Times New Roman" w:cs="Times New Roman"/>
          <w:sz w:val="24"/>
          <w:szCs w:val="24"/>
        </w:rPr>
        <w:t>organizational leaders and the</w:t>
      </w:r>
      <w:r w:rsidR="001B7807" w:rsidRPr="00D3471E">
        <w:rPr>
          <w:rFonts w:ascii="Times New Roman" w:hAnsi="Times New Roman" w:cs="Times New Roman"/>
          <w:sz w:val="24"/>
          <w:szCs w:val="24"/>
        </w:rPr>
        <w:t xml:space="preserve"> team </w:t>
      </w:r>
      <w:r w:rsidR="00D54EEF" w:rsidRPr="00D3471E">
        <w:rPr>
          <w:rFonts w:ascii="Times New Roman" w:hAnsi="Times New Roman" w:cs="Times New Roman"/>
          <w:sz w:val="24"/>
          <w:szCs w:val="24"/>
        </w:rPr>
        <w:t xml:space="preserve">can </w:t>
      </w:r>
      <w:r w:rsidR="001B7807" w:rsidRPr="00D3471E">
        <w:rPr>
          <w:rFonts w:ascii="Times New Roman" w:hAnsi="Times New Roman" w:cs="Times New Roman"/>
          <w:sz w:val="24"/>
          <w:szCs w:val="24"/>
        </w:rPr>
        <w:t>easily interact to understand their training needs and weaknesses</w:t>
      </w:r>
      <w:r w:rsidR="00D54EEF" w:rsidRPr="00D3471E">
        <w:rPr>
          <w:rFonts w:ascii="Times New Roman" w:hAnsi="Times New Roman" w:cs="Times New Roman"/>
          <w:sz w:val="24"/>
          <w:szCs w:val="24"/>
        </w:rPr>
        <w:t xml:space="preserve"> (Sulieman et al., 2020)</w:t>
      </w:r>
      <w:r w:rsidR="001B7807"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1B7807" w:rsidRPr="00D3471E">
        <w:rPr>
          <w:rFonts w:ascii="Times New Roman" w:hAnsi="Times New Roman" w:cs="Times New Roman"/>
          <w:sz w:val="24"/>
          <w:szCs w:val="24"/>
        </w:rPr>
        <w:t>The team will also use the portal to maintain communication with the employees during and after the project allowing them to express th</w:t>
      </w:r>
      <w:r w:rsidR="00F21C65">
        <w:rPr>
          <w:rFonts w:ascii="Times New Roman" w:hAnsi="Times New Roman" w:cs="Times New Roman"/>
          <w:sz w:val="24"/>
          <w:szCs w:val="24"/>
        </w:rPr>
        <w:t>eir concerns and give feedback.</w:t>
      </w:r>
    </w:p>
    <w:p w14:paraId="2DC199C2" w14:textId="2B56E67D" w:rsidR="00834CFE" w:rsidRPr="00D3471E"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Besides, ABC Hospital of Texas will </w:t>
      </w:r>
      <w:r w:rsidR="00625A00" w:rsidRPr="00D3471E">
        <w:rPr>
          <w:rFonts w:ascii="Times New Roman" w:hAnsi="Times New Roman" w:cs="Times New Roman"/>
          <w:sz w:val="24"/>
          <w:szCs w:val="24"/>
        </w:rPr>
        <w:t xml:space="preserve">also </w:t>
      </w:r>
      <w:r w:rsidR="00FA28C6" w:rsidRPr="00D3471E">
        <w:rPr>
          <w:rFonts w:ascii="Times New Roman" w:hAnsi="Times New Roman" w:cs="Times New Roman"/>
          <w:sz w:val="24"/>
          <w:szCs w:val="24"/>
        </w:rPr>
        <w:t xml:space="preserve">use the human resource management system (HRMS) to ensure the continuity of the proposed improvement initiative. </w:t>
      </w:r>
      <w:r w:rsidR="00B008DD">
        <w:rPr>
          <w:rFonts w:ascii="Times New Roman" w:hAnsi="Times New Roman" w:cs="Times New Roman"/>
          <w:sz w:val="24"/>
          <w:szCs w:val="24"/>
        </w:rPr>
        <w:t xml:space="preserve"> </w:t>
      </w:r>
      <w:r w:rsidR="00C70B19" w:rsidRPr="00D3471E">
        <w:rPr>
          <w:rFonts w:ascii="Times New Roman" w:hAnsi="Times New Roman" w:cs="Times New Roman"/>
          <w:sz w:val="24"/>
          <w:szCs w:val="24"/>
        </w:rPr>
        <w:t>According to Flynn et al. (2021),</w:t>
      </w:r>
      <w:r w:rsidR="00A31F97" w:rsidRPr="00D3471E">
        <w:rPr>
          <w:rFonts w:ascii="Times New Roman" w:hAnsi="Times New Roman" w:cs="Times New Roman"/>
          <w:sz w:val="24"/>
          <w:szCs w:val="24"/>
        </w:rPr>
        <w:t xml:space="preserve"> HRMS help</w:t>
      </w:r>
      <w:r w:rsidR="00C70B19" w:rsidRPr="00D3471E">
        <w:rPr>
          <w:rFonts w:ascii="Times New Roman" w:hAnsi="Times New Roman" w:cs="Times New Roman"/>
          <w:sz w:val="24"/>
          <w:szCs w:val="24"/>
        </w:rPr>
        <w:t xml:space="preserve">s healthcare facilities </w:t>
      </w:r>
      <w:r w:rsidR="00A31F97" w:rsidRPr="00D3471E">
        <w:rPr>
          <w:rFonts w:ascii="Times New Roman" w:hAnsi="Times New Roman" w:cs="Times New Roman"/>
          <w:sz w:val="24"/>
          <w:szCs w:val="24"/>
        </w:rPr>
        <w:t xml:space="preserve">fully understand their workforce by assessing their training needs to understand areas requiring individual workers' improvements. </w:t>
      </w:r>
      <w:r w:rsidR="00B008DD">
        <w:rPr>
          <w:rFonts w:ascii="Times New Roman" w:hAnsi="Times New Roman" w:cs="Times New Roman"/>
          <w:sz w:val="24"/>
          <w:szCs w:val="24"/>
        </w:rPr>
        <w:t xml:space="preserve"> </w:t>
      </w:r>
      <w:r w:rsidR="000A471F" w:rsidRPr="00D3471E">
        <w:rPr>
          <w:rFonts w:ascii="Times New Roman" w:hAnsi="Times New Roman" w:cs="Times New Roman"/>
          <w:sz w:val="24"/>
          <w:szCs w:val="24"/>
        </w:rPr>
        <w:t>The employees will then receive continuous training and appropriate communication channels established to facilitate information exchange between peers an</w:t>
      </w:r>
      <w:r w:rsidR="00F21C65">
        <w:rPr>
          <w:rFonts w:ascii="Times New Roman" w:hAnsi="Times New Roman" w:cs="Times New Roman"/>
          <w:sz w:val="24"/>
          <w:szCs w:val="24"/>
        </w:rPr>
        <w:t>d across different departments.</w:t>
      </w:r>
    </w:p>
    <w:p w14:paraId="77346224" w14:textId="72BC8E52" w:rsidR="00F21C65" w:rsidRPr="00B008DD" w:rsidRDefault="00EC72BF" w:rsidP="00F21C65">
      <w:pPr>
        <w:spacing w:after="0" w:line="480" w:lineRule="auto"/>
        <w:ind w:firstLine="0"/>
        <w:rPr>
          <w:rFonts w:ascii="Times New Roman" w:hAnsi="Times New Roman" w:cs="Times New Roman"/>
          <w:b/>
          <w:i/>
          <w:iCs/>
          <w:sz w:val="24"/>
          <w:szCs w:val="24"/>
        </w:rPr>
      </w:pPr>
      <w:r w:rsidRPr="00B008DD">
        <w:rPr>
          <w:rFonts w:ascii="Times New Roman" w:hAnsi="Times New Roman" w:cs="Times New Roman"/>
          <w:b/>
          <w:i/>
          <w:iCs/>
          <w:sz w:val="24"/>
          <w:szCs w:val="24"/>
        </w:rPr>
        <w:t xml:space="preserve">Organizational Processes </w:t>
      </w:r>
      <w:r w:rsidR="007E62A9">
        <w:rPr>
          <w:rFonts w:ascii="Times New Roman" w:hAnsi="Times New Roman" w:cs="Times New Roman"/>
          <w:b/>
          <w:i/>
          <w:iCs/>
          <w:sz w:val="24"/>
          <w:szCs w:val="24"/>
        </w:rPr>
        <w:t>T</w:t>
      </w:r>
      <w:r w:rsidRPr="00B008DD">
        <w:rPr>
          <w:rFonts w:ascii="Times New Roman" w:hAnsi="Times New Roman" w:cs="Times New Roman"/>
          <w:b/>
          <w:i/>
          <w:iCs/>
          <w:sz w:val="24"/>
          <w:szCs w:val="24"/>
        </w:rPr>
        <w:t xml:space="preserve">hat </w:t>
      </w:r>
      <w:r w:rsidR="007E62A9">
        <w:rPr>
          <w:rFonts w:ascii="Times New Roman" w:hAnsi="Times New Roman" w:cs="Times New Roman"/>
          <w:b/>
          <w:i/>
          <w:iCs/>
          <w:sz w:val="24"/>
          <w:szCs w:val="24"/>
        </w:rPr>
        <w:t>W</w:t>
      </w:r>
      <w:r w:rsidRPr="00B008DD">
        <w:rPr>
          <w:rFonts w:ascii="Times New Roman" w:hAnsi="Times New Roman" w:cs="Times New Roman"/>
          <w:b/>
          <w:i/>
          <w:iCs/>
          <w:sz w:val="24"/>
          <w:szCs w:val="24"/>
        </w:rPr>
        <w:t xml:space="preserve">ill </w:t>
      </w:r>
      <w:r w:rsidR="007E62A9">
        <w:rPr>
          <w:rFonts w:ascii="Times New Roman" w:hAnsi="Times New Roman" w:cs="Times New Roman"/>
          <w:b/>
          <w:i/>
          <w:iCs/>
          <w:sz w:val="24"/>
          <w:szCs w:val="24"/>
        </w:rPr>
        <w:t>A</w:t>
      </w:r>
      <w:r w:rsidRPr="00B008DD">
        <w:rPr>
          <w:rFonts w:ascii="Times New Roman" w:hAnsi="Times New Roman" w:cs="Times New Roman"/>
          <w:b/>
          <w:i/>
          <w:iCs/>
          <w:sz w:val="24"/>
          <w:szCs w:val="24"/>
        </w:rPr>
        <w:t xml:space="preserve">llow </w:t>
      </w:r>
      <w:r w:rsidR="007E62A9">
        <w:rPr>
          <w:rFonts w:ascii="Times New Roman" w:hAnsi="Times New Roman" w:cs="Times New Roman"/>
          <w:b/>
          <w:i/>
          <w:iCs/>
          <w:sz w:val="24"/>
          <w:szCs w:val="24"/>
        </w:rPr>
        <w:t>C</w:t>
      </w:r>
      <w:r w:rsidRPr="00B008DD">
        <w:rPr>
          <w:rFonts w:ascii="Times New Roman" w:hAnsi="Times New Roman" w:cs="Times New Roman"/>
          <w:b/>
          <w:i/>
          <w:iCs/>
          <w:sz w:val="24"/>
          <w:szCs w:val="24"/>
        </w:rPr>
        <w:t>onti</w:t>
      </w:r>
      <w:r w:rsidR="00F21C65" w:rsidRPr="00B008DD">
        <w:rPr>
          <w:rFonts w:ascii="Times New Roman" w:hAnsi="Times New Roman" w:cs="Times New Roman"/>
          <w:b/>
          <w:i/>
          <w:iCs/>
          <w:sz w:val="24"/>
          <w:szCs w:val="24"/>
        </w:rPr>
        <w:t xml:space="preserve">nued </w:t>
      </w:r>
      <w:r w:rsidR="007E62A9">
        <w:rPr>
          <w:rFonts w:ascii="Times New Roman" w:hAnsi="Times New Roman" w:cs="Times New Roman"/>
          <w:b/>
          <w:i/>
          <w:iCs/>
          <w:sz w:val="24"/>
          <w:szCs w:val="24"/>
        </w:rPr>
        <w:t>V</w:t>
      </w:r>
      <w:r w:rsidR="00F21C65" w:rsidRPr="00B008DD">
        <w:rPr>
          <w:rFonts w:ascii="Times New Roman" w:hAnsi="Times New Roman" w:cs="Times New Roman"/>
          <w:b/>
          <w:i/>
          <w:iCs/>
          <w:sz w:val="24"/>
          <w:szCs w:val="24"/>
        </w:rPr>
        <w:t xml:space="preserve">alidity of the </w:t>
      </w:r>
      <w:r w:rsidR="007E62A9">
        <w:rPr>
          <w:rFonts w:ascii="Times New Roman" w:hAnsi="Times New Roman" w:cs="Times New Roman"/>
          <w:b/>
          <w:i/>
          <w:iCs/>
          <w:sz w:val="24"/>
          <w:szCs w:val="24"/>
        </w:rPr>
        <w:t>I</w:t>
      </w:r>
      <w:r w:rsidR="00F21C65" w:rsidRPr="00B008DD">
        <w:rPr>
          <w:rFonts w:ascii="Times New Roman" w:hAnsi="Times New Roman" w:cs="Times New Roman"/>
          <w:b/>
          <w:i/>
          <w:iCs/>
          <w:sz w:val="24"/>
          <w:szCs w:val="24"/>
        </w:rPr>
        <w:t>nitiative</w:t>
      </w:r>
    </w:p>
    <w:p w14:paraId="2FA607E6" w14:textId="4752EDEB" w:rsidR="00F21C65" w:rsidRDefault="003A71AB"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A primary organizational process that will help </w:t>
      </w:r>
      <w:r w:rsidR="00F71727" w:rsidRPr="00D3471E">
        <w:rPr>
          <w:rFonts w:ascii="Times New Roman" w:hAnsi="Times New Roman" w:cs="Times New Roman"/>
          <w:sz w:val="24"/>
          <w:szCs w:val="24"/>
        </w:rPr>
        <w:t xml:space="preserve">allow the continued viability of the </w:t>
      </w:r>
      <w:r w:rsidR="00800445" w:rsidRPr="00D3471E">
        <w:rPr>
          <w:rFonts w:ascii="Times New Roman" w:hAnsi="Times New Roman" w:cs="Times New Roman"/>
          <w:sz w:val="24"/>
          <w:szCs w:val="24"/>
        </w:rPr>
        <w:t xml:space="preserve">proposed quality improvement is continuous </w:t>
      </w:r>
      <w:r w:rsidR="00570E28" w:rsidRPr="00D3471E">
        <w:rPr>
          <w:rFonts w:ascii="Times New Roman" w:hAnsi="Times New Roman" w:cs="Times New Roman"/>
          <w:sz w:val="24"/>
          <w:szCs w:val="24"/>
        </w:rPr>
        <w:t>employee training</w:t>
      </w:r>
      <w:r w:rsidR="003159A8" w:rsidRPr="00D3471E">
        <w:rPr>
          <w:rFonts w:ascii="Times New Roman" w:hAnsi="Times New Roman" w:cs="Times New Roman"/>
          <w:sz w:val="24"/>
          <w:szCs w:val="24"/>
        </w:rPr>
        <w:t xml:space="preserve"> and development</w:t>
      </w:r>
      <w:r w:rsidR="00570E28" w:rsidRPr="00D3471E">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570E28" w:rsidRPr="00D3471E">
        <w:rPr>
          <w:rFonts w:ascii="Times New Roman" w:hAnsi="Times New Roman" w:cs="Times New Roman"/>
          <w:sz w:val="24"/>
          <w:szCs w:val="24"/>
        </w:rPr>
        <w:t xml:space="preserve">Notably, ongoing training allows honing employees' knowledge and skills and offers the organizational leaders clarity of workers' strengths and weaknesses. </w:t>
      </w:r>
      <w:r w:rsidR="00B008DD">
        <w:rPr>
          <w:rFonts w:ascii="Times New Roman" w:hAnsi="Times New Roman" w:cs="Times New Roman"/>
          <w:sz w:val="24"/>
          <w:szCs w:val="24"/>
        </w:rPr>
        <w:t xml:space="preserve"> </w:t>
      </w:r>
      <w:r w:rsidR="002841B3" w:rsidRPr="00D3471E">
        <w:rPr>
          <w:rFonts w:ascii="Times New Roman" w:hAnsi="Times New Roman" w:cs="Times New Roman"/>
          <w:sz w:val="24"/>
          <w:szCs w:val="24"/>
        </w:rPr>
        <w:t xml:space="preserve">Continuously training the employees will ensure that workers at the ABC Hospital of Texas are always equipped with best care practices and kept up to date </w:t>
      </w:r>
      <w:r w:rsidR="00F21C65">
        <w:rPr>
          <w:rFonts w:ascii="Times New Roman" w:hAnsi="Times New Roman" w:cs="Times New Roman"/>
          <w:sz w:val="24"/>
          <w:szCs w:val="24"/>
        </w:rPr>
        <w:t>with any changes in healthcare.</w:t>
      </w:r>
    </w:p>
    <w:p w14:paraId="0F89D01C" w14:textId="06439D64" w:rsidR="00F21C65"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Additionally, the ABC Hospital of Texas will maintain clear and well-established communication channels, ensuring that workers can freely and easily express their concerns, ask questions and give feedback. </w:t>
      </w:r>
      <w:r w:rsidR="00B008DD">
        <w:rPr>
          <w:rFonts w:ascii="Times New Roman" w:hAnsi="Times New Roman" w:cs="Times New Roman"/>
          <w:sz w:val="24"/>
          <w:szCs w:val="24"/>
        </w:rPr>
        <w:t xml:space="preserve"> </w:t>
      </w:r>
      <w:r w:rsidRPr="00D3471E">
        <w:rPr>
          <w:rFonts w:ascii="Times New Roman" w:hAnsi="Times New Roman" w:cs="Times New Roman"/>
          <w:sz w:val="24"/>
          <w:szCs w:val="24"/>
        </w:rPr>
        <w:t xml:space="preserve">The organization will encourage the employees to use the hospital's suggestion boxes either physically or online to communicate with their leaders at all organizational levels. </w:t>
      </w:r>
      <w:r w:rsidR="00B008DD">
        <w:rPr>
          <w:rFonts w:ascii="Times New Roman" w:hAnsi="Times New Roman" w:cs="Times New Roman"/>
          <w:sz w:val="24"/>
          <w:szCs w:val="24"/>
        </w:rPr>
        <w:t xml:space="preserve"> </w:t>
      </w:r>
      <w:r w:rsidRPr="00D3471E">
        <w:rPr>
          <w:rFonts w:ascii="Times New Roman" w:hAnsi="Times New Roman" w:cs="Times New Roman"/>
          <w:sz w:val="24"/>
          <w:szCs w:val="24"/>
        </w:rPr>
        <w:t xml:space="preserve">Besides, employees will also be continuously trained on </w:t>
      </w:r>
      <w:r w:rsidR="00A82075">
        <w:rPr>
          <w:rFonts w:ascii="Times New Roman" w:hAnsi="Times New Roman" w:cs="Times New Roman"/>
          <w:sz w:val="24"/>
          <w:szCs w:val="24"/>
        </w:rPr>
        <w:t>key</w:t>
      </w:r>
      <w:r w:rsidRPr="00D3471E">
        <w:rPr>
          <w:rFonts w:ascii="Times New Roman" w:hAnsi="Times New Roman" w:cs="Times New Roman"/>
          <w:sz w:val="24"/>
          <w:szCs w:val="24"/>
        </w:rPr>
        <w:t xml:space="preserve"> communication skills and strategies.</w:t>
      </w:r>
      <w:r w:rsidR="00E40BFC">
        <w:rPr>
          <w:rFonts w:ascii="Times New Roman" w:hAnsi="Times New Roman" w:cs="Times New Roman"/>
          <w:sz w:val="24"/>
          <w:szCs w:val="24"/>
        </w:rPr>
        <w:t xml:space="preserve"> </w:t>
      </w:r>
      <w:r w:rsidR="00B008DD">
        <w:rPr>
          <w:rFonts w:ascii="Times New Roman" w:hAnsi="Times New Roman" w:cs="Times New Roman"/>
          <w:sz w:val="24"/>
          <w:szCs w:val="24"/>
        </w:rPr>
        <w:t xml:space="preserve"> </w:t>
      </w:r>
      <w:r w:rsidR="00E40BFC">
        <w:rPr>
          <w:rFonts w:ascii="Times New Roman" w:hAnsi="Times New Roman" w:cs="Times New Roman"/>
          <w:sz w:val="24"/>
          <w:szCs w:val="24"/>
        </w:rPr>
        <w:t>Th</w:t>
      </w:r>
      <w:r w:rsidR="009D6232">
        <w:rPr>
          <w:rFonts w:ascii="Times New Roman" w:hAnsi="Times New Roman" w:cs="Times New Roman"/>
          <w:sz w:val="24"/>
          <w:szCs w:val="24"/>
        </w:rPr>
        <w:t xml:space="preserve">e department leaders will be required to </w:t>
      </w:r>
      <w:r w:rsidR="0055656A">
        <w:rPr>
          <w:rFonts w:ascii="Times New Roman" w:hAnsi="Times New Roman" w:cs="Times New Roman"/>
          <w:sz w:val="24"/>
          <w:szCs w:val="24"/>
        </w:rPr>
        <w:t>set up</w:t>
      </w:r>
      <w:r w:rsidR="009D6232">
        <w:rPr>
          <w:rFonts w:ascii="Times New Roman" w:hAnsi="Times New Roman" w:cs="Times New Roman"/>
          <w:sz w:val="24"/>
          <w:szCs w:val="24"/>
        </w:rPr>
        <w:t xml:space="preserve"> adequate communication channels for their teams and across the department. </w:t>
      </w:r>
      <w:r w:rsidR="00B008DD">
        <w:rPr>
          <w:rFonts w:ascii="Times New Roman" w:hAnsi="Times New Roman" w:cs="Times New Roman"/>
          <w:sz w:val="24"/>
          <w:szCs w:val="24"/>
        </w:rPr>
        <w:t xml:space="preserve"> </w:t>
      </w:r>
      <w:r w:rsidR="009D6232">
        <w:rPr>
          <w:rFonts w:ascii="Times New Roman" w:hAnsi="Times New Roman" w:cs="Times New Roman"/>
          <w:sz w:val="24"/>
          <w:szCs w:val="24"/>
        </w:rPr>
        <w:t>Employees will be encouraged to express their training needs and deficits w</w:t>
      </w:r>
      <w:r w:rsidR="00F21C65">
        <w:rPr>
          <w:rFonts w:ascii="Times New Roman" w:hAnsi="Times New Roman" w:cs="Times New Roman"/>
          <w:sz w:val="24"/>
          <w:szCs w:val="24"/>
        </w:rPr>
        <w:t>ith their departmental leaders.</w:t>
      </w:r>
    </w:p>
    <w:p w14:paraId="35017593" w14:textId="0C7BB0AA" w:rsidR="003159A8" w:rsidRPr="00D3471E" w:rsidRDefault="00EC72BF" w:rsidP="00F21C65">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 xml:space="preserve">Lastly, all new hires will undergo vigorous training to incorporate critical communication skills and other aspects relevant to their job description and assigned roles. The </w:t>
      </w:r>
      <w:r w:rsidR="00384922" w:rsidRPr="00D3471E">
        <w:rPr>
          <w:rFonts w:ascii="Times New Roman" w:hAnsi="Times New Roman" w:cs="Times New Roman"/>
          <w:sz w:val="24"/>
          <w:szCs w:val="24"/>
        </w:rPr>
        <w:t xml:space="preserve">existing employees will then undergo periodic </w:t>
      </w:r>
      <w:r w:rsidR="0005756C" w:rsidRPr="00D3471E">
        <w:rPr>
          <w:rFonts w:ascii="Times New Roman" w:hAnsi="Times New Roman" w:cs="Times New Roman"/>
          <w:sz w:val="24"/>
          <w:szCs w:val="24"/>
        </w:rPr>
        <w:t xml:space="preserve">and performance evaluations </w:t>
      </w:r>
      <w:r w:rsidR="00384922" w:rsidRPr="00D3471E">
        <w:rPr>
          <w:rFonts w:ascii="Times New Roman" w:hAnsi="Times New Roman" w:cs="Times New Roman"/>
          <w:sz w:val="24"/>
          <w:szCs w:val="24"/>
        </w:rPr>
        <w:t xml:space="preserve">to assess their weaknesses then be subjected to training programs that match them. </w:t>
      </w:r>
      <w:r w:rsidR="00B008DD">
        <w:rPr>
          <w:rFonts w:ascii="Times New Roman" w:hAnsi="Times New Roman" w:cs="Times New Roman"/>
          <w:sz w:val="24"/>
          <w:szCs w:val="24"/>
        </w:rPr>
        <w:t xml:space="preserve"> </w:t>
      </w:r>
      <w:r w:rsidR="00384922" w:rsidRPr="00D3471E">
        <w:rPr>
          <w:rFonts w:ascii="Times New Roman" w:hAnsi="Times New Roman" w:cs="Times New Roman"/>
          <w:sz w:val="24"/>
          <w:szCs w:val="24"/>
        </w:rPr>
        <w:t>For practical training and development, ABC Hospital of Texas will ensure to have effective reward and motivational programs to ensure their work</w:t>
      </w:r>
      <w:r w:rsidR="00F21C65">
        <w:rPr>
          <w:rFonts w:ascii="Times New Roman" w:hAnsi="Times New Roman" w:cs="Times New Roman"/>
          <w:sz w:val="24"/>
          <w:szCs w:val="24"/>
        </w:rPr>
        <w:t>ers are satisfied at all times.</w:t>
      </w:r>
    </w:p>
    <w:p w14:paraId="1408531C" w14:textId="77777777" w:rsidR="0005756C" w:rsidRPr="00B008DD" w:rsidRDefault="00EC72BF" w:rsidP="00F21C65">
      <w:pPr>
        <w:spacing w:after="0" w:line="480" w:lineRule="auto"/>
        <w:ind w:firstLine="0"/>
        <w:jc w:val="center"/>
        <w:rPr>
          <w:rFonts w:ascii="Times New Roman" w:hAnsi="Times New Roman" w:cs="Times New Roman"/>
          <w:b/>
          <w:i/>
          <w:iCs/>
          <w:sz w:val="24"/>
          <w:szCs w:val="24"/>
        </w:rPr>
      </w:pPr>
      <w:r w:rsidRPr="00B008DD">
        <w:rPr>
          <w:rFonts w:ascii="Times New Roman" w:hAnsi="Times New Roman" w:cs="Times New Roman"/>
          <w:b/>
          <w:i/>
          <w:iCs/>
          <w:sz w:val="24"/>
          <w:szCs w:val="24"/>
        </w:rPr>
        <w:t>Interdepartmental Communication Necessary for Continuous Engagement in the Initiative</w:t>
      </w:r>
    </w:p>
    <w:p w14:paraId="1E691052" w14:textId="01998C8E" w:rsidR="00F21C65" w:rsidRDefault="00EC72BF" w:rsidP="004D7ED3">
      <w:pPr>
        <w:spacing w:after="0" w:line="480" w:lineRule="auto"/>
        <w:rPr>
          <w:rFonts w:ascii="Times New Roman" w:hAnsi="Times New Roman" w:cs="Times New Roman"/>
          <w:sz w:val="24"/>
          <w:szCs w:val="24"/>
        </w:rPr>
      </w:pPr>
      <w:r w:rsidRPr="00D3471E">
        <w:rPr>
          <w:rFonts w:ascii="Times New Roman" w:hAnsi="Times New Roman" w:cs="Times New Roman"/>
          <w:sz w:val="24"/>
          <w:szCs w:val="24"/>
        </w:rPr>
        <w:t>Interdepartmental communication</w:t>
      </w:r>
      <w:r w:rsidR="00C44DCE" w:rsidRPr="00D3471E">
        <w:rPr>
          <w:rFonts w:ascii="Times New Roman" w:hAnsi="Times New Roman" w:cs="Times New Roman"/>
          <w:sz w:val="24"/>
          <w:szCs w:val="24"/>
        </w:rPr>
        <w:t xml:space="preserve"> entails formal information exchanges between and among various organizational departments. </w:t>
      </w:r>
      <w:r w:rsidR="00B008DD">
        <w:rPr>
          <w:rFonts w:ascii="Times New Roman" w:hAnsi="Times New Roman" w:cs="Times New Roman"/>
          <w:sz w:val="24"/>
          <w:szCs w:val="24"/>
        </w:rPr>
        <w:t xml:space="preserve"> </w:t>
      </w:r>
      <w:r w:rsidR="00D3471E" w:rsidRPr="00D3471E">
        <w:rPr>
          <w:rFonts w:ascii="Times New Roman" w:hAnsi="Times New Roman" w:cs="Times New Roman"/>
          <w:sz w:val="24"/>
          <w:szCs w:val="24"/>
        </w:rPr>
        <w:t>Shuaib and Tiwana (2014) posit that interdepartmental communication</w:t>
      </w:r>
      <w:r w:rsidR="00C44DCE" w:rsidRPr="00D3471E">
        <w:rPr>
          <w:rFonts w:ascii="Times New Roman" w:hAnsi="Times New Roman" w:cs="Times New Roman"/>
          <w:sz w:val="24"/>
          <w:szCs w:val="24"/>
        </w:rPr>
        <w:t xml:space="preserve"> provides a valuable and convenient way of passing information and ensuring the different departments maintain touch. </w:t>
      </w:r>
      <w:r w:rsidR="00B008DD">
        <w:rPr>
          <w:rFonts w:ascii="Times New Roman" w:hAnsi="Times New Roman" w:cs="Times New Roman"/>
          <w:sz w:val="24"/>
          <w:szCs w:val="24"/>
        </w:rPr>
        <w:t xml:space="preserve"> </w:t>
      </w:r>
      <w:r w:rsidR="00C44DCE" w:rsidRPr="00D3471E">
        <w:rPr>
          <w:rFonts w:ascii="Times New Roman" w:hAnsi="Times New Roman" w:cs="Times New Roman"/>
          <w:sz w:val="24"/>
          <w:szCs w:val="24"/>
        </w:rPr>
        <w:t xml:space="preserve">For ABC Hospital of Texas to ensure continuous engagement in enhancing employee training and adequate communication, </w:t>
      </w:r>
      <w:r w:rsidR="003F6675" w:rsidRPr="00D3471E">
        <w:rPr>
          <w:rFonts w:ascii="Times New Roman" w:hAnsi="Times New Roman" w:cs="Times New Roman"/>
          <w:sz w:val="24"/>
          <w:szCs w:val="24"/>
        </w:rPr>
        <w:t xml:space="preserve">official memorandums will be shared with all department leaders sharing with their teams. </w:t>
      </w:r>
      <w:r w:rsidR="00B008DD">
        <w:rPr>
          <w:rFonts w:ascii="Times New Roman" w:hAnsi="Times New Roman" w:cs="Times New Roman"/>
          <w:sz w:val="24"/>
          <w:szCs w:val="24"/>
        </w:rPr>
        <w:t xml:space="preserve"> </w:t>
      </w:r>
      <w:r w:rsidR="003F6675" w:rsidRPr="00D3471E">
        <w:rPr>
          <w:rFonts w:ascii="Times New Roman" w:hAnsi="Times New Roman" w:cs="Times New Roman"/>
          <w:sz w:val="24"/>
          <w:szCs w:val="24"/>
        </w:rPr>
        <w:t>Notably, the memo wil</w:t>
      </w:r>
      <w:r w:rsidR="004513CE" w:rsidRPr="00D3471E">
        <w:rPr>
          <w:rFonts w:ascii="Times New Roman" w:hAnsi="Times New Roman" w:cs="Times New Roman"/>
          <w:sz w:val="24"/>
          <w:szCs w:val="24"/>
        </w:rPr>
        <w:t>l</w:t>
      </w:r>
      <w:r w:rsidR="00381E94">
        <w:rPr>
          <w:rFonts w:ascii="Times New Roman" w:hAnsi="Times New Roman" w:cs="Times New Roman"/>
          <w:sz w:val="24"/>
          <w:szCs w:val="24"/>
        </w:rPr>
        <w:t xml:space="preserve"> also</w:t>
      </w:r>
      <w:r w:rsidR="004513CE" w:rsidRPr="00D3471E">
        <w:rPr>
          <w:rFonts w:ascii="Times New Roman" w:hAnsi="Times New Roman" w:cs="Times New Roman"/>
          <w:sz w:val="24"/>
          <w:szCs w:val="24"/>
        </w:rPr>
        <w:t xml:space="preserve"> be shared online through company employees’ online platforms</w:t>
      </w:r>
      <w:r w:rsidR="003F6675" w:rsidRPr="00D3471E">
        <w:rPr>
          <w:rFonts w:ascii="Times New Roman" w:hAnsi="Times New Roman" w:cs="Times New Roman"/>
          <w:sz w:val="24"/>
          <w:szCs w:val="24"/>
        </w:rPr>
        <w:t xml:space="preserve"> for ease of access. </w:t>
      </w:r>
      <w:r w:rsidR="00B008DD">
        <w:rPr>
          <w:rFonts w:ascii="Times New Roman" w:hAnsi="Times New Roman" w:cs="Times New Roman"/>
          <w:sz w:val="24"/>
          <w:szCs w:val="24"/>
        </w:rPr>
        <w:t xml:space="preserve"> </w:t>
      </w:r>
      <w:r w:rsidR="003F6675" w:rsidRPr="00D3471E">
        <w:rPr>
          <w:rFonts w:ascii="Times New Roman" w:hAnsi="Times New Roman" w:cs="Times New Roman"/>
          <w:sz w:val="24"/>
          <w:szCs w:val="24"/>
        </w:rPr>
        <w:t xml:space="preserve">Important training programs and materials will continuously be shared over the company's social media platforms, and employees are encouraged to engage with each other on these platforms. </w:t>
      </w:r>
      <w:r w:rsidR="00B008DD">
        <w:rPr>
          <w:rFonts w:ascii="Times New Roman" w:hAnsi="Times New Roman" w:cs="Times New Roman"/>
          <w:sz w:val="24"/>
          <w:szCs w:val="24"/>
        </w:rPr>
        <w:t xml:space="preserve"> </w:t>
      </w:r>
      <w:r w:rsidR="002941DF">
        <w:rPr>
          <w:rFonts w:ascii="Times New Roman" w:hAnsi="Times New Roman" w:cs="Times New Roman"/>
          <w:sz w:val="24"/>
          <w:szCs w:val="24"/>
        </w:rPr>
        <w:t>Department leaders will be assigned the task of ensuring their teams have the right communication channels and skills and that they can easily communicate with each other and the patients.</w:t>
      </w:r>
      <w:r w:rsidR="00F21C65">
        <w:rPr>
          <w:rFonts w:ascii="Times New Roman" w:hAnsi="Times New Roman" w:cs="Times New Roman"/>
          <w:sz w:val="24"/>
          <w:szCs w:val="24"/>
        </w:rPr>
        <w:br w:type="page"/>
      </w:r>
    </w:p>
    <w:p w14:paraId="3FA3E7A4" w14:textId="77777777" w:rsidR="00B2503B" w:rsidRPr="00D3471E" w:rsidRDefault="00EC72BF" w:rsidP="00F21C65">
      <w:pPr>
        <w:spacing w:after="0" w:line="480" w:lineRule="auto"/>
        <w:ind w:firstLine="0"/>
        <w:jc w:val="center"/>
        <w:rPr>
          <w:rFonts w:ascii="Times New Roman" w:hAnsi="Times New Roman" w:cs="Times New Roman"/>
          <w:b/>
          <w:sz w:val="24"/>
          <w:szCs w:val="24"/>
        </w:rPr>
      </w:pPr>
      <w:r w:rsidRPr="00D3471E">
        <w:rPr>
          <w:rFonts w:ascii="Times New Roman" w:hAnsi="Times New Roman" w:cs="Times New Roman"/>
          <w:b/>
          <w:sz w:val="24"/>
          <w:szCs w:val="24"/>
        </w:rPr>
        <w:t>References</w:t>
      </w:r>
    </w:p>
    <w:p w14:paraId="0DFA4DDB" w14:textId="77777777" w:rsidR="00B2503B"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Ertan, Ş. S., &amp; Şeşen, H. (2019). Positive organizational scholarship in healthcare: The impact of employee training on performance, turnover, and stress. </w:t>
      </w:r>
      <w:r w:rsidRPr="00D3471E">
        <w:rPr>
          <w:rFonts w:ascii="Times New Roman" w:hAnsi="Times New Roman" w:cs="Times New Roman"/>
          <w:i/>
          <w:iCs/>
          <w:sz w:val="24"/>
          <w:szCs w:val="24"/>
        </w:rPr>
        <w:t>Journal of Management &amp; Organization</w:t>
      </w:r>
      <w:r w:rsidRPr="00D3471E">
        <w:rPr>
          <w:rFonts w:ascii="Times New Roman" w:hAnsi="Times New Roman" w:cs="Times New Roman"/>
          <w:sz w:val="24"/>
          <w:szCs w:val="24"/>
        </w:rPr>
        <w:t xml:space="preserve">, 1-20. </w:t>
      </w:r>
      <w:hyperlink r:id="rId8" w:history="1">
        <w:r w:rsidRPr="00D3471E">
          <w:rPr>
            <w:rStyle w:val="Hyperlink"/>
            <w:rFonts w:ascii="Times New Roman" w:hAnsi="Times New Roman" w:cs="Times New Roman"/>
            <w:sz w:val="24"/>
            <w:szCs w:val="24"/>
          </w:rPr>
          <w:t>https://doi.org/10.1017/jmo.2019.61</w:t>
        </w:r>
      </w:hyperlink>
    </w:p>
    <w:p w14:paraId="568984C7" w14:textId="77777777" w:rsidR="004277B8"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 xml:space="preserve">Flynn, W. J., Valentine, S. R., &amp; Meglich, P. (2021). </w:t>
      </w:r>
      <w:r w:rsidRPr="00D3471E">
        <w:rPr>
          <w:rFonts w:ascii="Times New Roman" w:hAnsi="Times New Roman" w:cs="Times New Roman"/>
          <w:i/>
          <w:sz w:val="24"/>
          <w:szCs w:val="24"/>
        </w:rPr>
        <w:t>Healthcare human resource management</w:t>
      </w:r>
      <w:r w:rsidRPr="00D3471E">
        <w:rPr>
          <w:rFonts w:ascii="Times New Roman" w:hAnsi="Times New Roman" w:cs="Times New Roman"/>
          <w:sz w:val="24"/>
          <w:szCs w:val="24"/>
        </w:rPr>
        <w:t>. Cengage Learning.</w:t>
      </w:r>
    </w:p>
    <w:p w14:paraId="74B7A54D" w14:textId="77777777" w:rsidR="00B12211"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Iliopoulos, E., Morrissey, N., Baryeh, K., &amp; Polyzois, I. (2018). Correlation between workplace learning and job satisfaction of NHS healthcare professionals. </w:t>
      </w:r>
      <w:r w:rsidRPr="00D3471E">
        <w:rPr>
          <w:rFonts w:ascii="Times New Roman" w:hAnsi="Times New Roman" w:cs="Times New Roman"/>
          <w:i/>
          <w:iCs/>
          <w:sz w:val="24"/>
          <w:szCs w:val="24"/>
        </w:rPr>
        <w:t>British Journal of Healthcare Management</w:t>
      </w:r>
      <w:r w:rsidRPr="00D3471E">
        <w:rPr>
          <w:rFonts w:ascii="Times New Roman" w:hAnsi="Times New Roman" w:cs="Times New Roman"/>
          <w:sz w:val="24"/>
          <w:szCs w:val="24"/>
        </w:rPr>
        <w:t>, </w:t>
      </w:r>
      <w:r w:rsidRPr="00D3471E">
        <w:rPr>
          <w:rFonts w:ascii="Times New Roman" w:hAnsi="Times New Roman" w:cs="Times New Roman"/>
          <w:i/>
          <w:iCs/>
          <w:sz w:val="24"/>
          <w:szCs w:val="24"/>
        </w:rPr>
        <w:t>24</w:t>
      </w:r>
      <w:r w:rsidRPr="00D3471E">
        <w:rPr>
          <w:rFonts w:ascii="Times New Roman" w:hAnsi="Times New Roman" w:cs="Times New Roman"/>
          <w:sz w:val="24"/>
          <w:szCs w:val="24"/>
        </w:rPr>
        <w:t>(5), 226-233.</w:t>
      </w:r>
      <w:r w:rsidR="004277B8" w:rsidRPr="00D3471E">
        <w:rPr>
          <w:rFonts w:ascii="Times New Roman" w:hAnsi="Times New Roman" w:cs="Times New Roman"/>
          <w:sz w:val="24"/>
          <w:szCs w:val="24"/>
        </w:rPr>
        <w:t xml:space="preserve"> </w:t>
      </w:r>
      <w:hyperlink r:id="rId9" w:history="1">
        <w:r w:rsidR="004277B8" w:rsidRPr="00D3471E">
          <w:rPr>
            <w:rStyle w:val="Hyperlink"/>
            <w:rFonts w:ascii="Times New Roman" w:hAnsi="Times New Roman" w:cs="Times New Roman"/>
            <w:sz w:val="24"/>
            <w:szCs w:val="24"/>
          </w:rPr>
          <w:t>https://doi.org/10.12968/bjhc.2018.24.5.226</w:t>
        </w:r>
      </w:hyperlink>
    </w:p>
    <w:p w14:paraId="444D611A" w14:textId="77777777" w:rsidR="00D3471E"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Shuaib, W., &amp; Tiwana, M. H. (2014). Interdepartmental communication. </w:t>
      </w:r>
      <w:r w:rsidRPr="00D3471E">
        <w:rPr>
          <w:rFonts w:ascii="Times New Roman" w:hAnsi="Times New Roman" w:cs="Times New Roman"/>
          <w:i/>
          <w:iCs/>
          <w:sz w:val="24"/>
          <w:szCs w:val="24"/>
        </w:rPr>
        <w:t>Irish Journal of Medical Science</w:t>
      </w:r>
      <w:r w:rsidRPr="00D3471E">
        <w:rPr>
          <w:rFonts w:ascii="Times New Roman" w:hAnsi="Times New Roman" w:cs="Times New Roman"/>
          <w:sz w:val="24"/>
          <w:szCs w:val="24"/>
        </w:rPr>
        <w:t>, </w:t>
      </w:r>
      <w:r w:rsidRPr="00D3471E">
        <w:rPr>
          <w:rFonts w:ascii="Times New Roman" w:hAnsi="Times New Roman" w:cs="Times New Roman"/>
          <w:i/>
          <w:iCs/>
          <w:sz w:val="24"/>
          <w:szCs w:val="24"/>
        </w:rPr>
        <w:t>183</w:t>
      </w:r>
      <w:r w:rsidRPr="00D3471E">
        <w:rPr>
          <w:rFonts w:ascii="Times New Roman" w:hAnsi="Times New Roman" w:cs="Times New Roman"/>
          <w:sz w:val="24"/>
          <w:szCs w:val="24"/>
        </w:rPr>
        <w:t xml:space="preserve">(1), 151-152. </w:t>
      </w:r>
      <w:hyperlink r:id="rId10" w:history="1">
        <w:r w:rsidRPr="00D3471E">
          <w:rPr>
            <w:rStyle w:val="Hyperlink"/>
            <w:rFonts w:ascii="Times New Roman" w:hAnsi="Times New Roman" w:cs="Times New Roman"/>
            <w:sz w:val="24"/>
            <w:szCs w:val="24"/>
          </w:rPr>
          <w:t>https://doi.org/10.1007/s11845-013-0999-6</w:t>
        </w:r>
      </w:hyperlink>
      <w:r w:rsidRPr="00D3471E">
        <w:rPr>
          <w:rFonts w:ascii="Times New Roman" w:hAnsi="Times New Roman" w:cs="Times New Roman"/>
          <w:sz w:val="24"/>
          <w:szCs w:val="24"/>
        </w:rPr>
        <w:t xml:space="preserve"> </w:t>
      </w:r>
    </w:p>
    <w:p w14:paraId="6792EC19" w14:textId="77777777" w:rsidR="00D54EEF" w:rsidRPr="00D3471E" w:rsidRDefault="00EC72BF" w:rsidP="00F21C65">
      <w:pPr>
        <w:spacing w:after="0" w:line="480" w:lineRule="auto"/>
        <w:ind w:left="720" w:hanging="720"/>
        <w:rPr>
          <w:rFonts w:ascii="Times New Roman" w:hAnsi="Times New Roman" w:cs="Times New Roman"/>
          <w:sz w:val="24"/>
          <w:szCs w:val="24"/>
        </w:rPr>
      </w:pPr>
      <w:r w:rsidRPr="00D3471E">
        <w:rPr>
          <w:rFonts w:ascii="Times New Roman" w:hAnsi="Times New Roman" w:cs="Times New Roman"/>
          <w:sz w:val="24"/>
          <w:szCs w:val="24"/>
        </w:rPr>
        <w:t xml:space="preserve">Sulieman, L., Steitz, B., &amp; Rosenbloom, S. T. (2020). Analysis of employee patient portal use and electronic health record access at an academic medical </w:t>
      </w:r>
      <w:r w:rsidR="00D3471E" w:rsidRPr="00D3471E">
        <w:rPr>
          <w:rFonts w:ascii="Times New Roman" w:hAnsi="Times New Roman" w:cs="Times New Roman"/>
          <w:sz w:val="24"/>
          <w:szCs w:val="24"/>
        </w:rPr>
        <w:t>cent</w:t>
      </w:r>
      <w:r w:rsidRPr="00D3471E">
        <w:rPr>
          <w:rFonts w:ascii="Times New Roman" w:hAnsi="Times New Roman" w:cs="Times New Roman"/>
          <w:sz w:val="24"/>
          <w:szCs w:val="24"/>
        </w:rPr>
        <w:t xml:space="preserve">er. </w:t>
      </w:r>
      <w:r w:rsidRPr="00D3471E">
        <w:rPr>
          <w:rFonts w:ascii="Times New Roman" w:hAnsi="Times New Roman" w:cs="Times New Roman"/>
          <w:i/>
          <w:iCs/>
          <w:sz w:val="24"/>
          <w:szCs w:val="24"/>
        </w:rPr>
        <w:t>Applied Clinical Informatics</w:t>
      </w:r>
      <w:r w:rsidRPr="00D3471E">
        <w:rPr>
          <w:rFonts w:ascii="Times New Roman" w:hAnsi="Times New Roman" w:cs="Times New Roman"/>
          <w:sz w:val="24"/>
          <w:szCs w:val="24"/>
        </w:rPr>
        <w:t>, </w:t>
      </w:r>
      <w:r w:rsidRPr="00D3471E">
        <w:rPr>
          <w:rFonts w:ascii="Times New Roman" w:hAnsi="Times New Roman" w:cs="Times New Roman"/>
          <w:i/>
          <w:iCs/>
          <w:sz w:val="24"/>
          <w:szCs w:val="24"/>
        </w:rPr>
        <w:t>11</w:t>
      </w:r>
      <w:r w:rsidRPr="00D3471E">
        <w:rPr>
          <w:rFonts w:ascii="Times New Roman" w:hAnsi="Times New Roman" w:cs="Times New Roman"/>
          <w:sz w:val="24"/>
          <w:szCs w:val="24"/>
        </w:rPr>
        <w:t>(03), 433-441.</w:t>
      </w:r>
      <w:r w:rsidR="00D32AFA" w:rsidRPr="00D3471E">
        <w:rPr>
          <w:rFonts w:ascii="Times New Roman" w:hAnsi="Times New Roman" w:cs="Times New Roman"/>
          <w:sz w:val="24"/>
          <w:szCs w:val="24"/>
        </w:rPr>
        <w:t xml:space="preserve"> </w:t>
      </w:r>
      <w:hyperlink r:id="rId11" w:history="1">
        <w:r w:rsidR="00F21C65" w:rsidRPr="000666A6">
          <w:rPr>
            <w:rStyle w:val="Hyperlink"/>
            <w:rFonts w:ascii="Times New Roman" w:hAnsi="Times New Roman" w:cs="Times New Roman"/>
            <w:sz w:val="24"/>
            <w:szCs w:val="24"/>
          </w:rPr>
          <w:t>https://doi.org/10.1055/s-0040-1713412</w:t>
        </w:r>
      </w:hyperlink>
    </w:p>
    <w:sectPr w:rsidR="00D54EEF" w:rsidRPr="00D347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71D8" w14:textId="77777777" w:rsidR="00AE7AF4" w:rsidRDefault="00AE7AF4">
      <w:pPr>
        <w:spacing w:after="0" w:line="240" w:lineRule="auto"/>
      </w:pPr>
      <w:r>
        <w:separator/>
      </w:r>
    </w:p>
  </w:endnote>
  <w:endnote w:type="continuationSeparator" w:id="0">
    <w:p w14:paraId="1A5FB96E" w14:textId="77777777" w:rsidR="00AE7AF4" w:rsidRDefault="00AE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8DA5" w14:textId="77777777" w:rsidR="00F21C65" w:rsidRDefault="00F21C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4DE6" w14:textId="77777777" w:rsidR="00F21C65" w:rsidRDefault="00F21C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DAAE" w14:textId="77777777" w:rsidR="00F21C65" w:rsidRDefault="00F21C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B1AB4" w14:textId="77777777" w:rsidR="00AE7AF4" w:rsidRDefault="00AE7AF4">
      <w:pPr>
        <w:spacing w:after="0" w:line="240" w:lineRule="auto"/>
      </w:pPr>
      <w:r>
        <w:separator/>
      </w:r>
    </w:p>
  </w:footnote>
  <w:footnote w:type="continuationSeparator" w:id="0">
    <w:p w14:paraId="79CC0BF3" w14:textId="77777777" w:rsidR="00AE7AF4" w:rsidRDefault="00AE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55A2" w14:textId="77777777" w:rsidR="00F21C65" w:rsidRDefault="00F21C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885F" w14:textId="3A73B354" w:rsidR="00D3471E" w:rsidRPr="00F21C65" w:rsidRDefault="00D3471E" w:rsidP="00F21C65">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9D89" w14:textId="77777777" w:rsidR="00F21C65" w:rsidRDefault="00F21C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7C7"/>
    <w:multiLevelType w:val="hybridMultilevel"/>
    <w:tmpl w:val="DF80EDEA"/>
    <w:lvl w:ilvl="0" w:tplc="BC9C1D72">
      <w:start w:val="1"/>
      <w:numFmt w:val="upperLetter"/>
      <w:lvlText w:val="%1."/>
      <w:lvlJc w:val="left"/>
      <w:pPr>
        <w:ind w:left="1080" w:hanging="360"/>
      </w:pPr>
      <w:rPr>
        <w:rFonts w:hint="default"/>
      </w:rPr>
    </w:lvl>
    <w:lvl w:ilvl="1" w:tplc="19A8AE6A" w:tentative="1">
      <w:start w:val="1"/>
      <w:numFmt w:val="lowerLetter"/>
      <w:lvlText w:val="%2."/>
      <w:lvlJc w:val="left"/>
      <w:pPr>
        <w:ind w:left="1800" w:hanging="360"/>
      </w:pPr>
    </w:lvl>
    <w:lvl w:ilvl="2" w:tplc="B4E2AF90" w:tentative="1">
      <w:start w:val="1"/>
      <w:numFmt w:val="lowerRoman"/>
      <w:lvlText w:val="%3."/>
      <w:lvlJc w:val="right"/>
      <w:pPr>
        <w:ind w:left="2520" w:hanging="180"/>
      </w:pPr>
    </w:lvl>
    <w:lvl w:ilvl="3" w:tplc="B2C60BBE" w:tentative="1">
      <w:start w:val="1"/>
      <w:numFmt w:val="decimal"/>
      <w:lvlText w:val="%4."/>
      <w:lvlJc w:val="left"/>
      <w:pPr>
        <w:ind w:left="3240" w:hanging="360"/>
      </w:pPr>
    </w:lvl>
    <w:lvl w:ilvl="4" w:tplc="FBFECCE2" w:tentative="1">
      <w:start w:val="1"/>
      <w:numFmt w:val="lowerLetter"/>
      <w:lvlText w:val="%5."/>
      <w:lvlJc w:val="left"/>
      <w:pPr>
        <w:ind w:left="3960" w:hanging="360"/>
      </w:pPr>
    </w:lvl>
    <w:lvl w:ilvl="5" w:tplc="752A53E8" w:tentative="1">
      <w:start w:val="1"/>
      <w:numFmt w:val="lowerRoman"/>
      <w:lvlText w:val="%6."/>
      <w:lvlJc w:val="right"/>
      <w:pPr>
        <w:ind w:left="4680" w:hanging="180"/>
      </w:pPr>
    </w:lvl>
    <w:lvl w:ilvl="6" w:tplc="416E7B62" w:tentative="1">
      <w:start w:val="1"/>
      <w:numFmt w:val="decimal"/>
      <w:lvlText w:val="%7."/>
      <w:lvlJc w:val="left"/>
      <w:pPr>
        <w:ind w:left="5400" w:hanging="360"/>
      </w:pPr>
    </w:lvl>
    <w:lvl w:ilvl="7" w:tplc="FAF63B16" w:tentative="1">
      <w:start w:val="1"/>
      <w:numFmt w:val="lowerLetter"/>
      <w:lvlText w:val="%8."/>
      <w:lvlJc w:val="left"/>
      <w:pPr>
        <w:ind w:left="6120" w:hanging="360"/>
      </w:pPr>
    </w:lvl>
    <w:lvl w:ilvl="8" w:tplc="21BECF84"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Njc1MjU1MDQ1MDNR0lEKTi0uzszPAykwrAUA/Ckn2CwAAAA="/>
  </w:docVars>
  <w:rsids>
    <w:rsidRoot w:val="00CA75E6"/>
    <w:rsid w:val="000176A4"/>
    <w:rsid w:val="0005756C"/>
    <w:rsid w:val="000A471F"/>
    <w:rsid w:val="00130DB0"/>
    <w:rsid w:val="00156436"/>
    <w:rsid w:val="001A234A"/>
    <w:rsid w:val="001B7807"/>
    <w:rsid w:val="001D37C2"/>
    <w:rsid w:val="00217999"/>
    <w:rsid w:val="00260159"/>
    <w:rsid w:val="002841B3"/>
    <w:rsid w:val="0029336B"/>
    <w:rsid w:val="002941DF"/>
    <w:rsid w:val="002C0034"/>
    <w:rsid w:val="002F1092"/>
    <w:rsid w:val="003159A8"/>
    <w:rsid w:val="00381E94"/>
    <w:rsid w:val="00384922"/>
    <w:rsid w:val="003A71AB"/>
    <w:rsid w:val="003C431A"/>
    <w:rsid w:val="003F6675"/>
    <w:rsid w:val="0040000D"/>
    <w:rsid w:val="004277B8"/>
    <w:rsid w:val="004513CE"/>
    <w:rsid w:val="00460522"/>
    <w:rsid w:val="004D7ED3"/>
    <w:rsid w:val="00554E68"/>
    <w:rsid w:val="0055656A"/>
    <w:rsid w:val="005630FB"/>
    <w:rsid w:val="00565111"/>
    <w:rsid w:val="00570E28"/>
    <w:rsid w:val="005F6DC7"/>
    <w:rsid w:val="00625A00"/>
    <w:rsid w:val="00641D96"/>
    <w:rsid w:val="0064422B"/>
    <w:rsid w:val="00797DD6"/>
    <w:rsid w:val="007D546A"/>
    <w:rsid w:val="007E3295"/>
    <w:rsid w:val="007E62A9"/>
    <w:rsid w:val="00800445"/>
    <w:rsid w:val="00834CFE"/>
    <w:rsid w:val="00850139"/>
    <w:rsid w:val="008C156E"/>
    <w:rsid w:val="008E2C04"/>
    <w:rsid w:val="00942995"/>
    <w:rsid w:val="00975E34"/>
    <w:rsid w:val="0098292F"/>
    <w:rsid w:val="009D6232"/>
    <w:rsid w:val="009E681F"/>
    <w:rsid w:val="00A31F97"/>
    <w:rsid w:val="00A34A00"/>
    <w:rsid w:val="00A82075"/>
    <w:rsid w:val="00AA0B85"/>
    <w:rsid w:val="00AE7AF4"/>
    <w:rsid w:val="00B008DD"/>
    <w:rsid w:val="00B12211"/>
    <w:rsid w:val="00B23DC8"/>
    <w:rsid w:val="00B2503B"/>
    <w:rsid w:val="00B32080"/>
    <w:rsid w:val="00B479D1"/>
    <w:rsid w:val="00B751D0"/>
    <w:rsid w:val="00C113D1"/>
    <w:rsid w:val="00C24E52"/>
    <w:rsid w:val="00C44DCE"/>
    <w:rsid w:val="00C70B19"/>
    <w:rsid w:val="00C80C29"/>
    <w:rsid w:val="00CA75E6"/>
    <w:rsid w:val="00CB43E5"/>
    <w:rsid w:val="00CB5FB8"/>
    <w:rsid w:val="00CD35E2"/>
    <w:rsid w:val="00CF5708"/>
    <w:rsid w:val="00CF794B"/>
    <w:rsid w:val="00D32AFA"/>
    <w:rsid w:val="00D3471E"/>
    <w:rsid w:val="00D54EEF"/>
    <w:rsid w:val="00D55038"/>
    <w:rsid w:val="00D76839"/>
    <w:rsid w:val="00DD08A6"/>
    <w:rsid w:val="00E40BFC"/>
    <w:rsid w:val="00E85A67"/>
    <w:rsid w:val="00EA096F"/>
    <w:rsid w:val="00EC72BF"/>
    <w:rsid w:val="00F20577"/>
    <w:rsid w:val="00F21C65"/>
    <w:rsid w:val="00F71727"/>
    <w:rsid w:val="00FA28C6"/>
    <w:rsid w:val="00FA6FA5"/>
    <w:rsid w:val="00FB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B94A"/>
  <w15:chartTrackingRefBased/>
  <w15:docId w15:val="{3886B600-F1FC-4305-BF96-BEC17285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C2"/>
    <w:pPr>
      <w:ind w:left="720"/>
      <w:contextualSpacing/>
    </w:pPr>
  </w:style>
  <w:style w:type="paragraph" w:styleId="Header">
    <w:name w:val="header"/>
    <w:basedOn w:val="Normal"/>
    <w:link w:val="HeaderChar"/>
    <w:uiPriority w:val="99"/>
    <w:unhideWhenUsed/>
    <w:rsid w:val="0005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56C"/>
  </w:style>
  <w:style w:type="paragraph" w:styleId="Footer">
    <w:name w:val="footer"/>
    <w:basedOn w:val="Normal"/>
    <w:link w:val="FooterChar"/>
    <w:uiPriority w:val="99"/>
    <w:unhideWhenUsed/>
    <w:rsid w:val="0005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56C"/>
  </w:style>
  <w:style w:type="character" w:styleId="Hyperlink">
    <w:name w:val="Hyperlink"/>
    <w:basedOn w:val="DefaultParagraphFont"/>
    <w:uiPriority w:val="99"/>
    <w:unhideWhenUsed/>
    <w:rsid w:val="00B25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jmo.2019.6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55/s-0040-17134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07/s11845-013-099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2968/bjhc.2018.24.5.2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2A07-1F14-40C9-B38A-6C02C79C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Lara Chacon</cp:lastModifiedBy>
  <cp:revision>4</cp:revision>
  <dcterms:created xsi:type="dcterms:W3CDTF">2021-10-16T00:40:00Z</dcterms:created>
  <dcterms:modified xsi:type="dcterms:W3CDTF">2021-10-21T00:49:00Z</dcterms:modified>
</cp:coreProperties>
</file>