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C556" w14:textId="77777777" w:rsidR="0094574A" w:rsidRPr="00A20379" w:rsidRDefault="00C14664" w:rsidP="0094574A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Written Assignment </w:t>
      </w:r>
      <w:r w:rsidR="00EE7E9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NUR2203</w:t>
      </w:r>
      <w:r w:rsidR="00A203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– Nursing the Surgical</w:t>
      </w:r>
      <w:r w:rsidR="00CA310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Patient</w:t>
      </w:r>
      <w:r w:rsidR="00A203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: </w:t>
      </w:r>
      <w:r w:rsidR="0094574A" w:rsidRPr="0094574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Task overview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9842"/>
      </w:tblGrid>
      <w:tr w:rsidR="0094574A" w:rsidRPr="003B0519" w14:paraId="6AFAA10E" w14:textId="77777777" w:rsidTr="00FC3962">
        <w:tc>
          <w:tcPr>
            <w:tcW w:w="1352" w:type="dxa"/>
            <w:shd w:val="clear" w:color="auto" w:fill="FFC000" w:themeFill="accent4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9194145" w14:textId="77777777" w:rsidR="0094574A" w:rsidRPr="003B0519" w:rsidRDefault="0094574A" w:rsidP="0069199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Assessment </w:t>
            </w:r>
          </w:p>
        </w:tc>
        <w:tc>
          <w:tcPr>
            <w:tcW w:w="984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8E9C36A" w14:textId="77777777" w:rsidR="0094574A" w:rsidRPr="003B0519" w:rsidRDefault="00F960CD" w:rsidP="003B05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Nursing the Surgical Patient</w:t>
            </w:r>
          </w:p>
        </w:tc>
      </w:tr>
      <w:tr w:rsidR="0094574A" w:rsidRPr="003B0519" w14:paraId="52119A9D" w14:textId="77777777" w:rsidTr="00FC3962">
        <w:trPr>
          <w:trHeight w:val="1101"/>
        </w:trPr>
        <w:tc>
          <w:tcPr>
            <w:tcW w:w="1352" w:type="dxa"/>
            <w:shd w:val="clear" w:color="auto" w:fill="FFC000" w:themeFill="accent4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019757" w14:textId="77777777" w:rsidR="0094574A" w:rsidRPr="003B0519" w:rsidRDefault="0038407B" w:rsidP="00523C3F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Assignment Objectives</w:t>
            </w:r>
          </w:p>
        </w:tc>
        <w:tc>
          <w:tcPr>
            <w:tcW w:w="984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417A4D1" w14:textId="77777777" w:rsidR="002D3374" w:rsidRPr="003B0519" w:rsidRDefault="002D3374" w:rsidP="000600B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>Demonstrate the use of research evidence for nursing practice applied to the care of a surgical patient</w:t>
            </w:r>
          </w:p>
          <w:p w14:paraId="2A1AD951" w14:textId="77777777" w:rsidR="002D3374" w:rsidRPr="003B0519" w:rsidRDefault="002D3374" w:rsidP="000600B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 xml:space="preserve">Augment skills in clinical decision making and reasoning through synthesising and analysing information required to care for a surgical patient </w:t>
            </w:r>
          </w:p>
          <w:p w14:paraId="630FC7C6" w14:textId="77777777" w:rsidR="002D3374" w:rsidRPr="003B0519" w:rsidRDefault="002D3374" w:rsidP="000600B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>Apply appropriate assessment, problem solving, planning, prioritising of interventions to care for the selected client scenario chosen</w:t>
            </w:r>
          </w:p>
          <w:p w14:paraId="6F6FDE7A" w14:textId="756E8DB6" w:rsidR="002D3374" w:rsidRPr="003B0519" w:rsidRDefault="002D3374" w:rsidP="000600B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 xml:space="preserve">Demonstrate the nurse’s role in monitoring and implementing prioritised nursing interventions in response </w:t>
            </w:r>
            <w:r w:rsidR="003A5A9E">
              <w:rPr>
                <w:rFonts w:cstheme="minorHAnsi"/>
                <w:sz w:val="20"/>
                <w:szCs w:val="20"/>
              </w:rPr>
              <w:t xml:space="preserve">to </w:t>
            </w:r>
            <w:r w:rsidRPr="003B0519">
              <w:rPr>
                <w:rFonts w:cstheme="minorHAnsi"/>
                <w:sz w:val="20"/>
                <w:szCs w:val="20"/>
              </w:rPr>
              <w:t>identified patient needs</w:t>
            </w:r>
          </w:p>
          <w:p w14:paraId="31B6EF93" w14:textId="77777777" w:rsidR="0094574A" w:rsidRPr="003B0519" w:rsidRDefault="002D3374" w:rsidP="000600B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>Demonstrate the ability to communicate specific patient care issues succinctly according to scholarly writing and referencing conventions</w:t>
            </w:r>
          </w:p>
        </w:tc>
      </w:tr>
      <w:tr w:rsidR="00F864FA" w:rsidRPr="003B0519" w14:paraId="084277CF" w14:textId="77777777" w:rsidTr="00FC3962">
        <w:trPr>
          <w:trHeight w:val="1101"/>
        </w:trPr>
        <w:tc>
          <w:tcPr>
            <w:tcW w:w="1352" w:type="dxa"/>
            <w:shd w:val="clear" w:color="auto" w:fill="FFC000" w:themeFill="accent4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8656C6E" w14:textId="77777777" w:rsidR="00F864FA" w:rsidRPr="003B0519" w:rsidRDefault="00F864FA" w:rsidP="00523C3F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Assessment Purpose</w:t>
            </w:r>
          </w:p>
        </w:tc>
        <w:tc>
          <w:tcPr>
            <w:tcW w:w="984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FD60F3" w14:textId="77777777" w:rsidR="00F864FA" w:rsidRPr="003B0519" w:rsidRDefault="00F864FA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b/>
                <w:sz w:val="20"/>
                <w:szCs w:val="20"/>
              </w:rPr>
              <w:t>Standard 1</w:t>
            </w:r>
            <w:r w:rsidRPr="003B0519">
              <w:rPr>
                <w:rFonts w:cstheme="minorHAnsi"/>
                <w:sz w:val="20"/>
                <w:szCs w:val="20"/>
              </w:rPr>
              <w:t>: Thinks critically and analyses nursing practice.</w:t>
            </w:r>
          </w:p>
          <w:p w14:paraId="547D0B77" w14:textId="77777777" w:rsidR="00F864FA" w:rsidRPr="003B0519" w:rsidRDefault="00F864FA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>RNs use a variety of thinking strategies and the best available evidence in making decisions and providing safe, quality nursing practice within person-centred and evidence-based frameworks.</w:t>
            </w:r>
          </w:p>
          <w:p w14:paraId="5C2DAF1E" w14:textId="77777777" w:rsidR="00F864FA" w:rsidRPr="003B0519" w:rsidRDefault="00F864FA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b/>
                <w:sz w:val="20"/>
                <w:szCs w:val="20"/>
              </w:rPr>
              <w:t>Standard 4</w:t>
            </w:r>
            <w:r w:rsidRPr="003B0519">
              <w:rPr>
                <w:rFonts w:cstheme="minorHAnsi"/>
                <w:sz w:val="20"/>
                <w:szCs w:val="20"/>
              </w:rPr>
              <w:t>: Comprehensively conducts assessments. RNs accurately conduct comprehensive and systematic assessments. They analyse information and data and communicate outcomes as the basis for practice.</w:t>
            </w:r>
          </w:p>
          <w:p w14:paraId="5FA3F866" w14:textId="77777777" w:rsidR="00F864FA" w:rsidRPr="003B0519" w:rsidRDefault="00F864FA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b/>
                <w:sz w:val="20"/>
                <w:szCs w:val="20"/>
              </w:rPr>
              <w:t>Standard 6:</w:t>
            </w:r>
            <w:r w:rsidRPr="003B0519">
              <w:rPr>
                <w:rFonts w:cstheme="minorHAnsi"/>
                <w:sz w:val="20"/>
                <w:szCs w:val="20"/>
              </w:rPr>
              <w:t xml:space="preserve"> Provides safe, appropriate and responsive quality nursing practice.</w:t>
            </w:r>
          </w:p>
          <w:p w14:paraId="307D4D7A" w14:textId="77777777" w:rsidR="00F864FA" w:rsidRPr="003B0519" w:rsidRDefault="00F864FA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>RNs provide and may delegate, quality and ethical goal directed actions. These are based on comprehensive and systematic assessment, and the best available evidence to achieve planned and agreed outcomes.</w:t>
            </w:r>
          </w:p>
          <w:p w14:paraId="521214CA" w14:textId="77777777" w:rsidR="00F864FA" w:rsidRPr="003B0519" w:rsidRDefault="00F864FA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b/>
                <w:sz w:val="20"/>
                <w:szCs w:val="20"/>
              </w:rPr>
              <w:t>Standard 7</w:t>
            </w:r>
            <w:r w:rsidRPr="003B0519">
              <w:rPr>
                <w:rFonts w:cstheme="minorHAnsi"/>
                <w:sz w:val="20"/>
                <w:szCs w:val="20"/>
              </w:rPr>
              <w:t>: Evaluates outcomes to inform nursing practice.</w:t>
            </w:r>
          </w:p>
          <w:p w14:paraId="1AB47090" w14:textId="77777777" w:rsidR="00F864FA" w:rsidRPr="003B0519" w:rsidRDefault="00F864FA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3B0519">
              <w:rPr>
                <w:rFonts w:cstheme="minorHAnsi"/>
                <w:sz w:val="20"/>
                <w:szCs w:val="20"/>
              </w:rPr>
              <w:t>RNs take responsibility for the evaluation of practice based on agreed priorities, goals, plans and outcomes and revises practice accordingly</w:t>
            </w:r>
          </w:p>
          <w:p w14:paraId="4C342A2A" w14:textId="526CE714" w:rsidR="00F864FA" w:rsidRPr="003B0519" w:rsidRDefault="009713E7" w:rsidP="00355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(NMBA 2018)</w:t>
            </w:r>
            <w:r w:rsidR="00F864FA" w:rsidRPr="003B0519">
              <w:rPr>
                <w:rFonts w:cstheme="minorHAnsi"/>
                <w:sz w:val="20"/>
                <w:szCs w:val="20"/>
              </w:rPr>
              <w:t xml:space="preserve"> Registered Nurse standards </w:t>
            </w:r>
            <w:r w:rsidR="00DD746C">
              <w:rPr>
                <w:rFonts w:cstheme="minorHAnsi"/>
                <w:sz w:val="20"/>
                <w:szCs w:val="20"/>
              </w:rPr>
              <w:t>for p</w:t>
            </w:r>
            <w:r w:rsidR="00F864FA" w:rsidRPr="003B0519">
              <w:rPr>
                <w:rFonts w:cstheme="minorHAnsi"/>
                <w:sz w:val="20"/>
                <w:szCs w:val="20"/>
              </w:rPr>
              <w:t>ractice Retrieved from: http://www.nursingmidwiferyboard.gov.au/Codes-GuidelinesStatements/Professional-standards/registered-nurse-standards-for-practice.aspx</w:t>
            </w:r>
          </w:p>
        </w:tc>
      </w:tr>
      <w:tr w:rsidR="0094574A" w:rsidRPr="003B0519" w14:paraId="2123CC22" w14:textId="77777777" w:rsidTr="00FC3962">
        <w:tc>
          <w:tcPr>
            <w:tcW w:w="1352" w:type="dxa"/>
            <w:shd w:val="clear" w:color="auto" w:fill="FFC000" w:themeFill="accent4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8FAFEE9" w14:textId="77777777" w:rsidR="0094574A" w:rsidRPr="003B0519" w:rsidRDefault="0094574A" w:rsidP="00523C3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Due Date</w:t>
            </w:r>
          </w:p>
        </w:tc>
        <w:tc>
          <w:tcPr>
            <w:tcW w:w="984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012321F" w14:textId="7CFC801B" w:rsidR="0094574A" w:rsidRPr="003B0519" w:rsidRDefault="00DD746C" w:rsidP="00355E91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September</w:t>
            </w:r>
            <w:r w:rsidR="00E11542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13,</w:t>
            </w:r>
            <w:r w:rsidR="00022CF4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2021</w:t>
            </w:r>
            <w:r w:rsidR="00EA18DE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2355</w:t>
            </w:r>
            <w:r w:rsidR="00022CF4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pm </w:t>
            </w:r>
          </w:p>
          <w:p w14:paraId="6519A44E" w14:textId="77777777" w:rsidR="00523C3F" w:rsidRPr="003B0519" w:rsidRDefault="00F864FA" w:rsidP="000600B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cstheme="minorHAnsi"/>
                <w:sz w:val="20"/>
                <w:szCs w:val="20"/>
              </w:rPr>
              <w:t xml:space="preserve">Submit </w:t>
            </w:r>
            <w:r w:rsidR="00A20379" w:rsidRPr="003B0519">
              <w:rPr>
                <w:rFonts w:cstheme="minorHAnsi"/>
                <w:sz w:val="20"/>
                <w:szCs w:val="20"/>
              </w:rPr>
              <w:t>via Turnitin</w:t>
            </w:r>
          </w:p>
          <w:p w14:paraId="23C12465" w14:textId="77777777" w:rsidR="00523C3F" w:rsidRPr="003B0519" w:rsidRDefault="00F864FA" w:rsidP="000600B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cstheme="minorHAnsi"/>
                <w:sz w:val="20"/>
                <w:szCs w:val="20"/>
              </w:rPr>
              <w:t>Late submission penalties will apply unless written extensions requests have been approved (see 4.2.4 https://policy.usq.edu.au/documents/14749PL#4.2_</w:t>
            </w:r>
            <w:r w:rsidR="00523C3F" w:rsidRPr="003B0519">
              <w:rPr>
                <w:rFonts w:cstheme="minorHAnsi"/>
                <w:sz w:val="20"/>
                <w:szCs w:val="20"/>
              </w:rPr>
              <w:t>Assignments )</w:t>
            </w:r>
          </w:p>
          <w:p w14:paraId="439E0B49" w14:textId="77777777" w:rsidR="00F864FA" w:rsidRPr="003B0519" w:rsidRDefault="00F864FA" w:rsidP="000600B6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cstheme="minorHAnsi"/>
                <w:sz w:val="20"/>
                <w:szCs w:val="20"/>
              </w:rPr>
              <w:t>Work submitted more than ten (10) University Business Days after the due date without an approved extension will have a Mark of zero (0) recorded.</w:t>
            </w:r>
          </w:p>
        </w:tc>
      </w:tr>
      <w:tr w:rsidR="00105E24" w:rsidRPr="003B0519" w14:paraId="320BA20D" w14:textId="77777777" w:rsidTr="00FC3962">
        <w:tc>
          <w:tcPr>
            <w:tcW w:w="1352" w:type="dxa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755AFB4E" w14:textId="77777777" w:rsidR="0094574A" w:rsidRPr="003B0519" w:rsidRDefault="0094574A" w:rsidP="00523C3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Length</w:t>
            </w:r>
          </w:p>
        </w:tc>
        <w:tc>
          <w:tcPr>
            <w:tcW w:w="984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E67E010" w14:textId="77777777" w:rsidR="0094574A" w:rsidRPr="003B0519" w:rsidRDefault="00A20379" w:rsidP="00355E9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2000</w:t>
            </w:r>
            <w:r w:rsidR="00F960CD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words</w:t>
            </w:r>
            <w:r w:rsidR="0094574A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+/-10%</w:t>
            </w:r>
            <w:r w:rsidR="00603AD9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(including headings)</w:t>
            </w:r>
            <w:r w:rsidR="0094574A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(word length includes in-text referencing and excludes your reference list</w:t>
            </w:r>
            <w:r w:rsidR="00F960CD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)</w:t>
            </w:r>
            <w:r w:rsidR="0094574A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05E24" w:rsidRPr="003B0519" w14:paraId="6D88D9D9" w14:textId="77777777" w:rsidTr="00FC3962">
        <w:trPr>
          <w:trHeight w:val="729"/>
        </w:trPr>
        <w:tc>
          <w:tcPr>
            <w:tcW w:w="1352" w:type="dxa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03549735" w14:textId="77777777" w:rsidR="009D0B6B" w:rsidRPr="00FC3962" w:rsidRDefault="009D0B6B" w:rsidP="00523C3F">
            <w:pPr>
              <w:spacing w:after="0" w:line="36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</w:pPr>
            <w:r w:rsidRPr="00FC3962"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  <w:t>Marks out of:</w:t>
            </w:r>
          </w:p>
          <w:p w14:paraId="5F396E7F" w14:textId="77777777" w:rsidR="0094574A" w:rsidRPr="003B0519" w:rsidRDefault="0094574A" w:rsidP="00523C3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C3962"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  <w:t>Weighting</w:t>
            </w:r>
            <w:r w:rsidR="009D0B6B" w:rsidRPr="00FC3962">
              <w:rPr>
                <w:rFonts w:eastAsia="Times New Roman" w:cstheme="minorHAnsi"/>
                <w:b/>
                <w:bCs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984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950D85A" w14:textId="77777777" w:rsidR="00F864FA" w:rsidRPr="003B0519" w:rsidRDefault="00BF4FBB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 total of </w:t>
            </w:r>
            <w:r w:rsidR="00D844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40</w:t>
            </w:r>
            <w:r w:rsidR="00F960CD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marks</w:t>
            </w: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= </w:t>
            </w:r>
            <w:r w:rsidR="00176EB1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40</w:t>
            </w:r>
            <w:r w:rsidR="00D844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%</w:t>
            </w:r>
            <w:r w:rsidR="00523C3F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(refer to Marking Rubric)</w:t>
            </w:r>
          </w:p>
        </w:tc>
      </w:tr>
      <w:tr w:rsidR="001D2608" w:rsidRPr="003B0519" w14:paraId="405111D5" w14:textId="77777777" w:rsidTr="00FC3962">
        <w:tc>
          <w:tcPr>
            <w:tcW w:w="1352" w:type="dxa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1A3BEA" w14:textId="77777777" w:rsidR="001D2608" w:rsidRPr="003B0519" w:rsidRDefault="001D2608" w:rsidP="00523C3F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B05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Formatting Style</w:t>
            </w:r>
          </w:p>
        </w:tc>
        <w:tc>
          <w:tcPr>
            <w:tcW w:w="984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795102" w14:textId="77777777" w:rsidR="001D2608" w:rsidRPr="003B0519" w:rsidRDefault="001D2608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Assignments should be presented using:</w:t>
            </w:r>
          </w:p>
          <w:p w14:paraId="74257AC3" w14:textId="77777777" w:rsidR="001D2608" w:rsidRPr="003B0519" w:rsidRDefault="001D2608" w:rsidP="006F71B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Double Line Spacing</w:t>
            </w:r>
          </w:p>
          <w:p w14:paraId="73AEC10B" w14:textId="77777777" w:rsidR="00E11542" w:rsidRDefault="001D2608" w:rsidP="00E11542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Times New Roman, </w:t>
            </w:r>
            <w:r w:rsidR="006F71B1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12-point</w:t>
            </w: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font</w:t>
            </w:r>
          </w:p>
          <w:p w14:paraId="4E76C9C1" w14:textId="4C0575B5" w:rsidR="00B5095B" w:rsidRPr="00E11542" w:rsidRDefault="001D2608" w:rsidP="00E11542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E115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Use APA 7th formatting style. The first line of each paragraph is indented. The reference list starts on a new page with the heading References. References are listed alphabetically and have the second and subsequent lines indented</w:t>
            </w:r>
            <w:r w:rsidR="00B5095B" w:rsidRPr="00E115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11542" w:rsidRPr="00E115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hyperlink r:id="rId5" w:history="1">
              <w:r w:rsidR="00E11542" w:rsidRPr="00E11542">
                <w:rPr>
                  <w:rStyle w:val="Hyperlink"/>
                  <w:sz w:val="20"/>
                  <w:szCs w:val="20"/>
                </w:rPr>
                <w:t>https://usq.pressbooks.pub/apa7/</w:t>
              </w:r>
            </w:hyperlink>
          </w:p>
          <w:p w14:paraId="1EF15C83" w14:textId="77777777" w:rsidR="00B5095B" w:rsidRDefault="00B5095B" w:rsidP="00B5095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</w:t>
            </w:r>
            <w:r w:rsidRPr="00B5095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resent your assignment in a scholarly fashion i.e. academic writing conventions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and written in the</w:t>
            </w:r>
            <w:r w:rsidRPr="00B5095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third person</w:t>
            </w:r>
          </w:p>
          <w:p w14:paraId="725ED7E7" w14:textId="77777777" w:rsidR="00B5095B" w:rsidRDefault="00B5095B" w:rsidP="00B5095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095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Bullet points, numbering, use of tables or figures must not to be used</w:t>
            </w:r>
          </w:p>
          <w:p w14:paraId="4D0A23DE" w14:textId="77777777" w:rsidR="00B5095B" w:rsidRDefault="00B5095B" w:rsidP="00B5095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Use s</w:t>
            </w:r>
            <w:r w:rsidRPr="00B5095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ubheadings for each section</w:t>
            </w:r>
          </w:p>
          <w:p w14:paraId="0274DAD6" w14:textId="57FBE66F" w:rsidR="00B5095B" w:rsidRDefault="00B5095B" w:rsidP="00B5095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Pr="00B5095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eparate page for references. The reference page is not included in the word count</w:t>
            </w:r>
          </w:p>
          <w:p w14:paraId="112F92C3" w14:textId="2CCAFDBC" w:rsidR="00B5095B" w:rsidRPr="00B5095B" w:rsidRDefault="00B5095B" w:rsidP="00B5095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095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Marking RUBRIC sheet attached as a separate document </w:t>
            </w:r>
          </w:p>
          <w:p w14:paraId="1F0C9231" w14:textId="24F4A267" w:rsidR="00B5095B" w:rsidRPr="00B5095B" w:rsidRDefault="00B5095B" w:rsidP="00B509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864FA" w:rsidRPr="003B0519" w14:paraId="29DD740D" w14:textId="77777777" w:rsidTr="00FC3962">
        <w:tc>
          <w:tcPr>
            <w:tcW w:w="1352" w:type="dxa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25DC6B" w14:textId="1E8DA1EB" w:rsidR="00F864FA" w:rsidRPr="003B0519" w:rsidRDefault="00F864FA" w:rsidP="00523C3F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lastRenderedPageBreak/>
              <w:t xml:space="preserve"> </w:t>
            </w:r>
          </w:p>
        </w:tc>
        <w:tc>
          <w:tcPr>
            <w:tcW w:w="984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DD5E3A" w14:textId="77777777" w:rsidR="003B0519" w:rsidRPr="00FC3962" w:rsidRDefault="003B0519" w:rsidP="00FC39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9D0B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Submission</w:t>
            </w:r>
            <w:r>
              <w:t xml:space="preserve"> </w:t>
            </w:r>
            <w:r w:rsidRPr="009D0B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information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7851"/>
            </w:tblGrid>
            <w:tr w:rsidR="003B0519" w:rsidRPr="0094574A" w14:paraId="30431E8B" w14:textId="77777777" w:rsidTr="00FC3962">
              <w:tc>
                <w:tcPr>
                  <w:tcW w:w="1697" w:type="dxa"/>
                  <w:shd w:val="clear" w:color="auto" w:fill="FFC000" w:themeFill="accent4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  <w:hideMark/>
                </w:tcPr>
                <w:p w14:paraId="1474B2B6" w14:textId="77777777" w:rsidR="003B0519" w:rsidRPr="00F640F4" w:rsidRDefault="003B0519" w:rsidP="003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F640F4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What you need to submit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  <w:hideMark/>
                </w:tcPr>
                <w:p w14:paraId="5BF8A936" w14:textId="77777777" w:rsidR="003B0519" w:rsidRPr="00A23327" w:rsidRDefault="003B0519" w:rsidP="00355E9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One </w:t>
                  </w:r>
                  <w:r w:rsidRPr="0047517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Microsoft Word document that contains the following items: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               </w:t>
                  </w:r>
                </w:p>
                <w:p w14:paraId="6D806630" w14:textId="77777777" w:rsidR="003B0519" w:rsidRPr="00D65432" w:rsidRDefault="003B0519" w:rsidP="000600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85"/>
                    <w:textAlignment w:val="baseline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Your assignment document.</w:t>
                  </w:r>
                </w:p>
                <w:p w14:paraId="71DD3D04" w14:textId="77777777" w:rsidR="003B0519" w:rsidRPr="00D65432" w:rsidRDefault="003B0519" w:rsidP="000600B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85"/>
                    <w:textAlignment w:val="baseline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DB077E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No coversheet but footer must include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: </w:t>
                  </w:r>
                  <w:r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en-AU"/>
                    </w:rPr>
                    <w:t>surname_initial_</w:t>
                  </w:r>
                  <w:r w:rsidRPr="0047517E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en-AU"/>
                    </w:rPr>
                    <w:t>studentn</w:t>
                  </w:r>
                  <w:r w:rsidR="00E623A7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en-AU"/>
                    </w:rPr>
                    <w:t>umber_coursecode_A1</w:t>
                  </w:r>
                  <w:r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en-AU"/>
                    </w:rPr>
                    <w:t>_page no</w:t>
                  </w:r>
                </w:p>
                <w:p w14:paraId="4F7AACC7" w14:textId="6A168AB0" w:rsidR="003B0519" w:rsidRPr="00DB077E" w:rsidRDefault="003B0519" w:rsidP="005856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85"/>
                    <w:textAlignment w:val="baseline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Please u</w:t>
                  </w:r>
                  <w:r w:rsidR="00E623A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se </w:t>
                  </w:r>
                  <w:r w:rsidRPr="0088583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Marking </w:t>
                  </w:r>
                  <w:r w:rsidR="005856C6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Rubric </w:t>
                  </w:r>
                  <w:r w:rsidRPr="0088583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to guide you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,</w:t>
                  </w:r>
                  <w:r w:rsidRPr="0088583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5856C6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and</w:t>
                  </w:r>
                  <w:r w:rsidRPr="0088583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 submit the Marking </w:t>
                  </w:r>
                  <w:r w:rsidR="005856C6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Rubric as a separate document</w:t>
                  </w:r>
                  <w:r w:rsidRPr="0088583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3B0519" w:rsidRPr="0094574A" w14:paraId="44B57A4F" w14:textId="77777777" w:rsidTr="00FC3962">
              <w:tc>
                <w:tcPr>
                  <w:tcW w:w="1697" w:type="dxa"/>
                  <w:shd w:val="clear" w:color="auto" w:fill="FFC000" w:themeFill="accent4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  <w:hideMark/>
                </w:tcPr>
                <w:p w14:paraId="19F78294" w14:textId="77777777" w:rsidR="003B0519" w:rsidRPr="00F640F4" w:rsidRDefault="003B0519" w:rsidP="003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F640F4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Submission requirements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  <w:hideMark/>
                </w:tcPr>
                <w:p w14:paraId="47593790" w14:textId="180B87F9" w:rsidR="003B0519" w:rsidRPr="0047517E" w:rsidRDefault="003B0519" w:rsidP="00FC3962">
                  <w:pPr>
                    <w:spacing w:line="240" w:lineRule="auto"/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E45B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This assessment is to be submitted electronically via </w:t>
                  </w:r>
                  <w:r w:rsidR="00276C2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the </w:t>
                  </w:r>
                  <w:r w:rsidRPr="00276C27">
                    <w:rPr>
                      <w:rFonts w:eastAsia="Times New Roman" w:cstheme="minorHAnsi"/>
                      <w:i/>
                      <w:iCs/>
                      <w:color w:val="000000"/>
                      <w:sz w:val="20"/>
                      <w:szCs w:val="20"/>
                      <w:lang w:eastAsia="en-AU"/>
                    </w:rPr>
                    <w:t>Assessment Submission link</w:t>
                  </w:r>
                  <w:r w:rsidRPr="001E45B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on NUR</w:t>
                  </w:r>
                  <w:r w:rsidR="00EA18D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2203</w:t>
                  </w:r>
                  <w:r w:rsidRPr="001E45B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Study Desk.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It</w:t>
                  </w:r>
                  <w:r w:rsidRPr="00B10F8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must be submitted in el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ectronic format as a </w:t>
                  </w:r>
                  <w:r w:rsidRPr="00B10F8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Micro</w:t>
                  </w:r>
                  <w:r w:rsidR="0037214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soft Word document via Turnitin.</w:t>
                  </w:r>
                  <w:r w:rsidRPr="00B10F8D">
                    <w:rPr>
                      <w:rFonts w:cstheme="minorHAnsi"/>
                      <w:b/>
                      <w:bCs/>
                      <w:color w:val="C00000"/>
                      <w:lang w:val="en-GB"/>
                    </w:rPr>
                    <w:t xml:space="preserve"> </w:t>
                  </w:r>
                  <w:r w:rsidRPr="00B10F8D">
                    <w:rPr>
                      <w:rFonts w:cstheme="minorHAnsi"/>
                      <w:b/>
                      <w:bCs/>
                      <w:color w:val="C00000"/>
                      <w:sz w:val="20"/>
                      <w:szCs w:val="20"/>
                      <w:lang w:val="en-GB"/>
                    </w:rPr>
                    <w:t>The Turnitin process</w:t>
                  </w:r>
                  <w:r w:rsidRPr="00B10F8D">
                    <w:rPr>
                      <w:rFonts w:cstheme="minorHAnsi"/>
                      <w:color w:val="C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D65432">
                    <w:rPr>
                      <w:rFonts w:cstheme="minorHAnsi"/>
                      <w:b/>
                      <w:color w:val="C00000"/>
                      <w:sz w:val="20"/>
                      <w:szCs w:val="20"/>
                      <w:lang w:val="en-GB"/>
                    </w:rPr>
                    <w:t>may take up to 24 hours</w:t>
                  </w:r>
                  <w:r w:rsidRPr="00D65432">
                    <w:rPr>
                      <w:rFonts w:cstheme="minorHAnsi"/>
                      <w:color w:val="C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B10F8D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to produce a report. </w:t>
                  </w:r>
                  <w:r w:rsidRPr="00474DEE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Therefore, allow adequate time </w:t>
                  </w:r>
                  <w:r w:rsidR="003A5A9E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for </w:t>
                  </w:r>
                  <w:r w:rsidRPr="00474DEE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this and address any issues of plagiarism detected by Turnitin before final submission. </w:t>
                  </w:r>
                </w:p>
              </w:tc>
            </w:tr>
            <w:tr w:rsidR="003B0519" w:rsidRPr="0094574A" w14:paraId="03FE8B8B" w14:textId="77777777" w:rsidTr="00FC3962">
              <w:tc>
                <w:tcPr>
                  <w:tcW w:w="1697" w:type="dxa"/>
                  <w:shd w:val="clear" w:color="auto" w:fill="FFC000" w:themeFill="accent4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14:paraId="0122113A" w14:textId="77777777" w:rsidR="003B0519" w:rsidRPr="00F640F4" w:rsidRDefault="003B0519" w:rsidP="003B05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F640F4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File Name Conventions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14:paraId="12FBA076" w14:textId="77777777" w:rsidR="003B0519" w:rsidRDefault="003B0519" w:rsidP="003B0519">
                  <w:pPr>
                    <w:spacing w:line="240" w:lineRule="auto"/>
                    <w:textAlignment w:val="baseline"/>
                    <w:rPr>
                      <w:rFonts w:eastAsia="Times New Roman" w:cstheme="minorHAnsi"/>
                      <w:b/>
                      <w:i/>
                      <w:color w:val="000000"/>
                      <w:sz w:val="20"/>
                      <w:szCs w:val="20"/>
                      <w:lang w:eastAsia="en-AU"/>
                    </w:rPr>
                  </w:pPr>
                  <w:r w:rsidRPr="0047517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Save your document with the following naming conventions: </w:t>
                  </w:r>
                  <w:r w:rsidRPr="00DB077E">
                    <w:rPr>
                      <w:rFonts w:eastAsia="Times New Roman" w:cstheme="minorHAnsi"/>
                      <w:b/>
                      <w:i/>
                      <w:color w:val="000000"/>
                      <w:sz w:val="20"/>
                      <w:szCs w:val="20"/>
                      <w:lang w:eastAsia="en-AU"/>
                    </w:rPr>
                    <w:t>surname_initial_studentnumber_coursecode_A1.doc/docx</w:t>
                  </w:r>
                </w:p>
                <w:p w14:paraId="5A477FCC" w14:textId="77777777" w:rsidR="003B0519" w:rsidRPr="0047517E" w:rsidRDefault="00372148" w:rsidP="003B0519">
                  <w:pPr>
                    <w:spacing w:line="240" w:lineRule="auto"/>
                    <w:textAlignment w:val="baseline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color w:val="000000"/>
                      <w:sz w:val="20"/>
                      <w:szCs w:val="20"/>
                      <w:lang w:eastAsia="en-AU"/>
                    </w:rPr>
                    <w:t>e.g.</w:t>
                  </w:r>
                  <w:r w:rsidR="00EA18DE">
                    <w:rPr>
                      <w:rFonts w:eastAsia="Times New Roman" w:cstheme="minorHAnsi"/>
                      <w:b/>
                      <w:i/>
                      <w:color w:val="000000"/>
                      <w:sz w:val="20"/>
                      <w:szCs w:val="20"/>
                      <w:lang w:eastAsia="en-AU"/>
                    </w:rPr>
                    <w:t xml:space="preserve"> Jones_S_001789789_NUR2203</w:t>
                  </w:r>
                  <w:r w:rsidR="00A71E24">
                    <w:rPr>
                      <w:rFonts w:eastAsia="Times New Roman" w:cstheme="minorHAnsi"/>
                      <w:b/>
                      <w:i/>
                      <w:color w:val="000000"/>
                      <w:sz w:val="20"/>
                      <w:szCs w:val="20"/>
                      <w:lang w:eastAsia="en-AU"/>
                    </w:rPr>
                    <w:t>_A1</w:t>
                  </w:r>
                  <w:r w:rsidR="003B0519">
                    <w:rPr>
                      <w:rFonts w:eastAsia="Times New Roman" w:cstheme="minorHAnsi"/>
                      <w:b/>
                      <w:i/>
                      <w:color w:val="000000"/>
                      <w:sz w:val="20"/>
                      <w:szCs w:val="20"/>
                      <w:lang w:eastAsia="en-AU"/>
                    </w:rPr>
                    <w:t>.doc</w:t>
                  </w:r>
                </w:p>
              </w:tc>
            </w:tr>
            <w:tr w:rsidR="003B0519" w:rsidRPr="0094574A" w14:paraId="7BAD701D" w14:textId="77777777" w:rsidTr="00FC3962">
              <w:tc>
                <w:tcPr>
                  <w:tcW w:w="1697" w:type="dxa"/>
                  <w:shd w:val="clear" w:color="auto" w:fill="FFC000" w:themeFill="accent4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  <w:hideMark/>
                </w:tcPr>
                <w:p w14:paraId="573C07CC" w14:textId="77777777" w:rsidR="003B0519" w:rsidRPr="00F640F4" w:rsidRDefault="003B0519" w:rsidP="003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 xml:space="preserve">Marking and </w:t>
                  </w:r>
                  <w:r w:rsidRPr="00F640F4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Moderation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  <w:hideMark/>
                </w:tcPr>
                <w:p w14:paraId="3503EEB5" w14:textId="315D12CA" w:rsidR="003B0519" w:rsidRDefault="003B0519" w:rsidP="000600B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360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59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This task will be marked against </w:t>
                  </w:r>
                  <w:r w:rsidR="00E623A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the </w:t>
                  </w:r>
                  <w:r w:rsidR="003A5A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M</w:t>
                  </w:r>
                  <w:r w:rsidR="00E623A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arking Rubric</w:t>
                  </w:r>
                  <w:r w:rsidRPr="009B59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available on </w:t>
                  </w:r>
                  <w:r w:rsidR="006B2E41" w:rsidRPr="009B59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Study Desk</w:t>
                  </w:r>
                  <w:r w:rsidR="006B2E4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.</w:t>
                  </w:r>
                </w:p>
                <w:p w14:paraId="72E9682C" w14:textId="77777777" w:rsidR="003B0519" w:rsidRPr="009B5974" w:rsidRDefault="003B0519" w:rsidP="000600B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360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9B59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All staff who are assessing your work meet to discuss and compare their judgements before marks or grades are finalised.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A rigorous moderation process is undertaken for this course, hence no remarking of assessment pieces will be considered.</w:t>
                  </w:r>
                </w:p>
                <w:p w14:paraId="6620FB97" w14:textId="77777777" w:rsidR="00B5095B" w:rsidRDefault="003B0519" w:rsidP="00B5095B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60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AD7E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Final release of grades will normally be within three weeks of submission. This same timeframe applies for any approvals for an extension of time</w:t>
                  </w:r>
                  <w:r w:rsidR="003A5A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AD7E7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commencing at the time of submission</w:t>
                  </w:r>
                </w:p>
                <w:p w14:paraId="7F4E58B1" w14:textId="1037D822" w:rsidR="00B5095B" w:rsidRPr="00B5095B" w:rsidRDefault="009D30E2" w:rsidP="00B5095B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360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B5095B">
                    <w:rPr>
                      <w:rFonts w:cstheme="minorHAnsi"/>
                      <w:sz w:val="20"/>
                      <w:szCs w:val="20"/>
                    </w:rPr>
                    <w:t>Academic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="00E1154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B5095B">
                    <w:rPr>
                      <w:rFonts w:cstheme="minorHAnsi"/>
                      <w:sz w:val="20"/>
                      <w:szCs w:val="20"/>
                    </w:rPr>
                    <w:t xml:space="preserve">can help clarify assignment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questions,</w:t>
                  </w:r>
                  <w:r w:rsidR="00B5095B">
                    <w:rPr>
                      <w:rFonts w:cstheme="minorHAnsi"/>
                      <w:sz w:val="20"/>
                      <w:szCs w:val="20"/>
                    </w:rPr>
                    <w:t xml:space="preserve"> but </w:t>
                  </w:r>
                  <w:r w:rsidR="00B5095B" w:rsidRPr="00B5095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we are not </w:t>
                  </w:r>
                  <w:r w:rsidRPr="00B5095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able</w:t>
                  </w:r>
                  <w:r w:rsidR="00B5095B" w:rsidRPr="00B5095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to review drafts</w:t>
                  </w:r>
                  <w:r w:rsidR="00B5095B" w:rsidRPr="00B5095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B0519" w:rsidRPr="0094574A" w14:paraId="3B092F77" w14:textId="77777777" w:rsidTr="00FC3962">
              <w:trPr>
                <w:trHeight w:val="610"/>
              </w:trPr>
              <w:tc>
                <w:tcPr>
                  <w:tcW w:w="1697" w:type="dxa"/>
                  <w:shd w:val="clear" w:color="auto" w:fill="FFC000" w:themeFill="accent4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14:paraId="47B30571" w14:textId="77777777" w:rsidR="003B0519" w:rsidRPr="00F640F4" w:rsidRDefault="003B0519" w:rsidP="003B05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 w:rsidRPr="00F640F4"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 xml:space="preserve">Academic Integrity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14:paraId="39E49219" w14:textId="77777777" w:rsidR="003B0519" w:rsidRDefault="003B0519" w:rsidP="003B0519">
                  <w:pPr>
                    <w:spacing w:after="0" w:line="240" w:lineRule="auto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Student</w:t>
                  </w:r>
                  <w:r w:rsidRPr="00BE7DF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s should be familiar with USQ’s policy on Academic Integrity: </w:t>
                  </w:r>
                  <w:hyperlink r:id="rId6" w:history="1">
                    <w:r w:rsidRPr="00DF4802"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>https://policy.usq.edu.au/documents/13752PL</w:t>
                    </w:r>
                  </w:hyperlink>
                </w:p>
                <w:p w14:paraId="10C59EF4" w14:textId="77777777" w:rsidR="003B0519" w:rsidRDefault="003B0519" w:rsidP="003B051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14:paraId="086FB044" w14:textId="77777777" w:rsidR="003B0519" w:rsidRPr="007F2A7D" w:rsidRDefault="00A71E24" w:rsidP="003B0519">
                  <w:pPr>
                    <w:spacing w:line="240" w:lineRule="auto"/>
                    <w:textAlignment w:val="baseline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Completion</w:t>
                  </w:r>
                  <w:r w:rsidR="003B0519" w:rsidRPr="007F2A7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of the Academic Integrity learning activity is highly recommended.</w:t>
                  </w:r>
                </w:p>
                <w:p w14:paraId="3FC9C7F7" w14:textId="77777777" w:rsidR="003B0519" w:rsidRPr="00622514" w:rsidRDefault="003B0519" w:rsidP="003B05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sz w:val="20"/>
                      <w:szCs w:val="20"/>
                      <w:u w:val="single"/>
                      <w:lang w:eastAsia="en-AU"/>
                    </w:rPr>
                  </w:pPr>
                  <w:r w:rsidRPr="007F2A7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Turnitin has been enabled so that students can check for similarity matching within their assessment and make amendments prior to the due date to demonstrate academic integrity.</w:t>
                  </w:r>
                </w:p>
              </w:tc>
            </w:tr>
            <w:tr w:rsidR="003B0519" w:rsidRPr="0094574A" w14:paraId="689DC78F" w14:textId="77777777" w:rsidTr="00FC3962">
              <w:trPr>
                <w:trHeight w:val="610"/>
              </w:trPr>
              <w:tc>
                <w:tcPr>
                  <w:tcW w:w="1697" w:type="dxa"/>
                  <w:shd w:val="clear" w:color="auto" w:fill="FFC000" w:themeFill="accent4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14:paraId="6A6EAED0" w14:textId="77777777" w:rsidR="003B0519" w:rsidRPr="00F640F4" w:rsidRDefault="003B0519" w:rsidP="003B051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en-AU"/>
                    </w:rPr>
                    <w:t>Late Submissions Penalty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14:paraId="33353F73" w14:textId="77777777" w:rsidR="003B0519" w:rsidRPr="001670A9" w:rsidRDefault="003B0519" w:rsidP="000600B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1670A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Students are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encouraged</w:t>
                  </w:r>
                  <w:r w:rsidRPr="001670A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to access the USQ assessment policy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:</w:t>
                  </w:r>
                  <w:r w:rsidRPr="001670A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hyperlink r:id="rId7" w:history="1">
                    <w:r w:rsidRPr="004C12EE">
                      <w:rPr>
                        <w:rStyle w:val="Hyperlink"/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t>https://policy.usq.edu.au/documents/1357PL</w:t>
                    </w:r>
                  </w:hyperlink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1CCFE91C" w14:textId="77777777" w:rsidR="003B0519" w:rsidRPr="00C76EFB" w:rsidRDefault="003B0519" w:rsidP="000600B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Style w:val="Hyperlink"/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none"/>
                      <w:lang w:eastAsia="en-AU"/>
                    </w:rPr>
                  </w:pPr>
                  <w:r w:rsidRPr="001670A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Applications for an extension of time will only be considered if received in accordance with the USQ Assessment procedure </w:t>
                  </w:r>
                  <w:hyperlink r:id="rId8" w:history="1">
                    <w:r w:rsidRPr="004C12EE">
                      <w:rPr>
                        <w:rStyle w:val="Hyperlink"/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t>https://policy.usq.edu.au/documents/14749PL</w:t>
                    </w:r>
                  </w:hyperlink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and the </w:t>
                  </w:r>
                  <w:r w:rsidRPr="005F47C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Assessment of Compassionate and Compelling Circumstances Procedure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: </w:t>
                  </w:r>
                  <w:hyperlink r:id="rId9" w:history="1">
                    <w:r w:rsidRPr="005F47CE">
                      <w:rPr>
                        <w:rStyle w:val="Hyperlink"/>
                        <w:rFonts w:ascii="Calibri" w:eastAsia="Times New Roman" w:hAnsi="Calibri" w:cs="Calibri"/>
                        <w:sz w:val="20"/>
                        <w:szCs w:val="20"/>
                        <w:lang w:eastAsia="en-AU"/>
                      </w:rPr>
                      <w:t>https://policy.usq.edu.au/documents/131150PL</w:t>
                    </w:r>
                  </w:hyperlink>
                </w:p>
                <w:p w14:paraId="6F2E91D7" w14:textId="2D4B2E88" w:rsidR="003B0519" w:rsidRDefault="003A5A9E" w:rsidP="000600B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Requests for assignment</w:t>
                  </w:r>
                  <w:r w:rsidR="003B0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extensions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need to be made</w:t>
                  </w:r>
                  <w:r w:rsidR="003B0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 xml:space="preserve"> PRIOR to the due date </w:t>
                  </w:r>
                </w:p>
              </w:tc>
            </w:tr>
          </w:tbl>
          <w:p w14:paraId="07FDACDE" w14:textId="77777777" w:rsidR="00A20379" w:rsidRPr="003B0519" w:rsidRDefault="00A20379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1D2608" w:rsidRPr="003B0519" w14:paraId="04E3C6FB" w14:textId="77777777" w:rsidTr="00FC3962">
        <w:tc>
          <w:tcPr>
            <w:tcW w:w="1352" w:type="dxa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B9E16D" w14:textId="77777777" w:rsidR="001D2608" w:rsidRPr="00FC3962" w:rsidRDefault="001D2608" w:rsidP="00523C3F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FC3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Resources available </w:t>
            </w:r>
            <w:r w:rsidR="00FC3962" w:rsidRPr="00FC3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to </w:t>
            </w:r>
            <w:r w:rsidRPr="00FC39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complete task</w:t>
            </w:r>
          </w:p>
        </w:tc>
        <w:tc>
          <w:tcPr>
            <w:tcW w:w="984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09F01D" w14:textId="5BCC4582" w:rsidR="001D2608" w:rsidRPr="003B0519" w:rsidRDefault="001D2608" w:rsidP="003B051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USQ academic writing style is provided in links </w:t>
            </w:r>
            <w:r w:rsidR="003A5A9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available </w:t>
            </w: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on the course Resources Tab.</w:t>
            </w:r>
          </w:p>
          <w:p w14:paraId="5D4D3005" w14:textId="77777777" w:rsidR="001D2608" w:rsidRPr="003B0519" w:rsidRDefault="001D2608" w:rsidP="003B0519">
            <w:pPr>
              <w:spacing w:after="0" w:line="240" w:lineRule="auto"/>
              <w:rPr>
                <w:rFonts w:cstheme="minorHAnsi"/>
                <w:color w:val="0563C1" w:themeColor="hyperlink"/>
                <w:sz w:val="20"/>
                <w:szCs w:val="20"/>
                <w:u w:val="single"/>
                <w:lang w:val="en-US"/>
              </w:rPr>
            </w:pPr>
            <w:r w:rsidRPr="003B051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3B0519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  <w:lang w:val="en-US"/>
                </w:rPr>
                <w:t>https://www.usq.edu.au/library/study-support/assignments</w:t>
              </w:r>
            </w:hyperlink>
          </w:p>
          <w:p w14:paraId="75382573" w14:textId="77777777" w:rsidR="001D2608" w:rsidRPr="003B0519" w:rsidRDefault="001D2608" w:rsidP="003B0519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B0519">
              <w:rPr>
                <w:rFonts w:cstheme="minorHAnsi"/>
                <w:sz w:val="20"/>
                <w:szCs w:val="20"/>
                <w:lang w:val="en-US"/>
              </w:rPr>
              <w:t>Referencing</w:t>
            </w:r>
          </w:p>
          <w:p w14:paraId="0601B3BA" w14:textId="77777777" w:rsidR="001D2608" w:rsidRDefault="00E62977" w:rsidP="003B0519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  <w:lang w:val="en-US"/>
              </w:rPr>
            </w:pPr>
            <w:hyperlink r:id="rId11" w:history="1">
              <w:r w:rsidR="001D2608" w:rsidRPr="003B051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https://www.usq.edu.au/library/referencing</w:t>
              </w:r>
            </w:hyperlink>
          </w:p>
          <w:p w14:paraId="239F82C9" w14:textId="77777777" w:rsidR="001D2608" w:rsidRDefault="001D2608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11726EE2" w14:textId="77777777" w:rsidR="008C2283" w:rsidRDefault="008C2283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2864FF1D" w14:textId="77777777" w:rsidR="008C2283" w:rsidRDefault="008C2283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065B554B" w14:textId="77777777" w:rsidR="008C2283" w:rsidRDefault="008C2283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55A406E1" w14:textId="77777777" w:rsidR="008C2283" w:rsidRDefault="008C2283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3765446F" w14:textId="77777777" w:rsidR="008C2283" w:rsidRDefault="008C2283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53494888" w14:textId="77777777" w:rsidR="008C2283" w:rsidRDefault="008C2283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0A589F4B" w14:textId="42FF32B6" w:rsidR="008C2283" w:rsidRPr="003B0519" w:rsidRDefault="008C2283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3007" w:rsidRPr="003B0519" w14:paraId="27DE81A0" w14:textId="77777777" w:rsidTr="00FC3962">
        <w:tc>
          <w:tcPr>
            <w:tcW w:w="1352" w:type="dxa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5550A5" w14:textId="77777777" w:rsidR="00FC3007" w:rsidRPr="003B0519" w:rsidRDefault="00FC3007" w:rsidP="00523C3F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lastRenderedPageBreak/>
              <w:t xml:space="preserve">Case Study </w:t>
            </w:r>
          </w:p>
        </w:tc>
        <w:tc>
          <w:tcPr>
            <w:tcW w:w="984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1FCA52" w14:textId="4B871D29" w:rsidR="00DA1476" w:rsidRDefault="00175E3E" w:rsidP="008C228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Mrs</w:t>
            </w:r>
            <w:r w:rsidR="008A582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Wendy Green</w:t>
            </w:r>
            <w:r w:rsidR="001D002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F1E4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 </w:t>
            </w:r>
            <w:r w:rsidR="003A5A9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  <w:r w:rsidR="003A5A9E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-year-old</w:t>
            </w:r>
            <w:r w:rsidR="00FC3007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Teacher</w:t>
            </w:r>
            <w:r w:rsidR="008C2283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649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presented to</w:t>
            </w:r>
            <w:r w:rsidR="008C2283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her GP three weeks ago</w:t>
            </w:r>
            <w:r w:rsidR="008C2283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649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with 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3-month</w:t>
            </w:r>
            <w:r w:rsidR="00E649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history of abdominal pain and diarrhoea. </w:t>
            </w:r>
            <w:r w:rsidR="008A582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C3007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649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colonoscopy and </w:t>
            </w:r>
            <w:r w:rsidR="00E649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CT scan revealed</w:t>
            </w:r>
            <w:r w:rsidR="0028436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</w:t>
            </w:r>
            <w:r w:rsidR="00E649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943F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tumour in the ascending colon. </w:t>
            </w:r>
            <w:r w:rsidR="00DA14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Wendy</w:t>
            </w:r>
            <w:r w:rsidR="00E6494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276C2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scheduled for</w:t>
            </w:r>
            <w:r w:rsidR="00DA14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F642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 open right hemi-</w:t>
            </w:r>
            <w:r w:rsidR="000943F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colectomy.</w:t>
            </w:r>
          </w:p>
          <w:p w14:paraId="42133845" w14:textId="77777777" w:rsidR="008C2283" w:rsidRDefault="008C2283" w:rsidP="008C228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6B8C5E3A" w14:textId="7E49BFA6" w:rsidR="0073381B" w:rsidRPr="003B0519" w:rsidRDefault="0073381B" w:rsidP="008C2283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Please refer to the following </w:t>
            </w:r>
            <w:r w:rsidR="00175E3E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pre-</w:t>
            </w:r>
            <w:r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and post-operative assessment data to answer the assignment questions. </w:t>
            </w:r>
          </w:p>
          <w:p w14:paraId="0307CD03" w14:textId="77777777" w:rsidR="00DA1476" w:rsidRDefault="00DA1476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  <w:p w14:paraId="5D509BF8" w14:textId="77777777" w:rsidR="006D0949" w:rsidRDefault="006D0949" w:rsidP="003B05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 w:rsidRPr="003B0519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 xml:space="preserve">Pre-operative </w:t>
            </w:r>
            <w:r w:rsidR="00B27F96" w:rsidRPr="003B0519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 xml:space="preserve">clinical </w:t>
            </w:r>
            <w:r w:rsidRPr="003B0519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>data</w:t>
            </w:r>
          </w:p>
          <w:p w14:paraId="787C558E" w14:textId="77777777" w:rsidR="00D84476" w:rsidRPr="003B0519" w:rsidRDefault="00D84476" w:rsidP="003B051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</w:pPr>
          </w:p>
          <w:tbl>
            <w:tblPr>
              <w:tblW w:w="9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907"/>
              <w:gridCol w:w="3506"/>
            </w:tblGrid>
            <w:tr w:rsidR="00FC3007" w:rsidRPr="003B0519" w14:paraId="1D13CCFC" w14:textId="77777777" w:rsidTr="00FD4DCB">
              <w:trPr>
                <w:trHeight w:val="218"/>
              </w:trPr>
              <w:tc>
                <w:tcPr>
                  <w:tcW w:w="2750" w:type="dxa"/>
                  <w:shd w:val="clear" w:color="auto" w:fill="FFC000"/>
                </w:tcPr>
                <w:p w14:paraId="54EB1EF9" w14:textId="77777777" w:rsidR="00FC3007" w:rsidRPr="003B0519" w:rsidRDefault="00FC3007" w:rsidP="003B051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Objective Data</w:t>
                  </w:r>
                </w:p>
              </w:tc>
              <w:tc>
                <w:tcPr>
                  <w:tcW w:w="2907" w:type="dxa"/>
                  <w:shd w:val="clear" w:color="auto" w:fill="FFC000"/>
                </w:tcPr>
                <w:p w14:paraId="5B100FFF" w14:textId="77777777" w:rsidR="00FC3007" w:rsidRPr="003B0519" w:rsidRDefault="00FC3007" w:rsidP="003B051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Past Medical History</w:t>
                  </w:r>
                </w:p>
              </w:tc>
              <w:tc>
                <w:tcPr>
                  <w:tcW w:w="3506" w:type="dxa"/>
                  <w:shd w:val="clear" w:color="auto" w:fill="FFC000"/>
                </w:tcPr>
                <w:p w14:paraId="124285CD" w14:textId="77777777" w:rsidR="00FC3007" w:rsidRPr="003B0519" w:rsidRDefault="00FC3007" w:rsidP="003B051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Social History</w:t>
                  </w:r>
                </w:p>
              </w:tc>
            </w:tr>
            <w:tr w:rsidR="00FC3007" w:rsidRPr="003B0519" w14:paraId="72F3DB49" w14:textId="77777777" w:rsidTr="00FD4DCB">
              <w:trPr>
                <w:trHeight w:val="3399"/>
              </w:trPr>
              <w:tc>
                <w:tcPr>
                  <w:tcW w:w="2750" w:type="dxa"/>
                  <w:shd w:val="clear" w:color="auto" w:fill="auto"/>
                </w:tcPr>
                <w:p w14:paraId="1BABAC47" w14:textId="5171EC48" w:rsidR="00FC3007" w:rsidRPr="003B0519" w:rsidRDefault="00FC3007" w:rsidP="00057415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Weight </w:t>
                  </w:r>
                  <w:r w:rsidR="00DB66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reported </w:t>
                  </w:r>
                  <w:r w:rsidR="00175E3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92</w:t>
                  </w: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kgs</w:t>
                  </w:r>
                </w:p>
                <w:p w14:paraId="23FCD345" w14:textId="3907FA7A" w:rsidR="00FC3007" w:rsidRPr="003B0519" w:rsidRDefault="008A582A" w:rsidP="00057415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Height </w:t>
                  </w:r>
                  <w:r w:rsidR="00DB66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reported </w:t>
                  </w:r>
                  <w:r w:rsidR="003A5A9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1</w:t>
                  </w:r>
                  <w:r w:rsidR="00175E3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68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cm</w:t>
                  </w:r>
                </w:p>
                <w:p w14:paraId="3541CFBD" w14:textId="77777777" w:rsidR="00FC3007" w:rsidRPr="003B0519" w:rsidRDefault="008A582A" w:rsidP="00057415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BP </w:t>
                  </w:r>
                  <w:r w:rsidR="0073381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155/100</w:t>
                  </w:r>
                </w:p>
                <w:p w14:paraId="38CB5F0D" w14:textId="5AA8DA13" w:rsidR="00FC3007" w:rsidRPr="003B0519" w:rsidRDefault="0073381B" w:rsidP="00057415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HR </w:t>
                  </w:r>
                  <w:r w:rsidR="000943F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88</w:t>
                  </w:r>
                </w:p>
                <w:p w14:paraId="6D0A43F2" w14:textId="77777777" w:rsidR="00FC3007" w:rsidRPr="003B0519" w:rsidRDefault="00FC3007" w:rsidP="00057415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RR 18</w:t>
                  </w:r>
                </w:p>
                <w:p w14:paraId="3DDD8D08" w14:textId="77777777" w:rsidR="00FC3007" w:rsidRPr="003B0519" w:rsidRDefault="0073381B" w:rsidP="00057415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Temp 38.8</w:t>
                  </w:r>
                  <w:r w:rsidR="00DB66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C</w:t>
                  </w:r>
                </w:p>
                <w:p w14:paraId="777837F5" w14:textId="77777777" w:rsidR="00FC3007" w:rsidRPr="003B0519" w:rsidRDefault="00FC3007" w:rsidP="00057415">
                  <w:pPr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Urinalysis - normal</w:t>
                  </w:r>
                </w:p>
                <w:p w14:paraId="5A0799DA" w14:textId="77777777" w:rsidR="00FC3007" w:rsidRPr="003B0519" w:rsidRDefault="00FC3007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u w:val="single"/>
                      <w:lang w:eastAsia="en-AU"/>
                    </w:rPr>
                    <w:t>Current Medication</w:t>
                  </w:r>
                </w:p>
                <w:p w14:paraId="70A6371B" w14:textId="77777777" w:rsidR="00FC3007" w:rsidRPr="003B0519" w:rsidRDefault="00FC300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Simvastatin 40mg nocte</w:t>
                  </w:r>
                </w:p>
                <w:p w14:paraId="25E720AB" w14:textId="4A0EF6EF" w:rsidR="004B07FB" w:rsidRDefault="004B07FB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C</w:t>
                  </w:r>
                  <w:r w:rsidRPr="004B07F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aptopril </w:t>
                  </w:r>
                  <w:r w:rsidR="0073381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100</w:t>
                  </w:r>
                  <w:r w:rsidRPr="004B07F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mg</w:t>
                  </w:r>
                  <w:r w:rsidR="002843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mane</w:t>
                  </w:r>
                </w:p>
                <w:p w14:paraId="5C9D569D" w14:textId="2FA5CED7" w:rsidR="00A816B7" w:rsidRDefault="00A816B7" w:rsidP="0005741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A816B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Aspirin </w:t>
                  </w:r>
                  <w:r w:rsidR="00E1154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100 m</w:t>
                  </w:r>
                  <w:r w:rsidR="0073381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g mane</w:t>
                  </w:r>
                  <w:r w:rsidRPr="00A816B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2EDD1431" w14:textId="52B6E8CE" w:rsidR="00175E3E" w:rsidRPr="00A816B7" w:rsidRDefault="00175E3E" w:rsidP="0005741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Ventolin prn 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14:paraId="725C6DFF" w14:textId="77777777" w:rsidR="00FC3007" w:rsidRPr="003B0519" w:rsidRDefault="00FC3007" w:rsidP="00057415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Hypercholesterolemia</w:t>
                  </w:r>
                </w:p>
                <w:p w14:paraId="5EF4B371" w14:textId="517B8BAB" w:rsidR="00FC3007" w:rsidRDefault="00FC3007" w:rsidP="00057415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Hypertension</w:t>
                  </w:r>
                </w:p>
                <w:p w14:paraId="0BAA0AF2" w14:textId="2CF65D57" w:rsidR="00175E3E" w:rsidRPr="003B0519" w:rsidRDefault="00175E3E" w:rsidP="00057415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Asthma</w:t>
                  </w:r>
                </w:p>
                <w:p w14:paraId="6C94CDCA" w14:textId="2EB7F883" w:rsidR="00FC3007" w:rsidRDefault="00FC3007" w:rsidP="00057415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Obstructive sleep apnoea </w:t>
                  </w:r>
                  <w:r w:rsidR="00B27F96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(OSA) </w:t>
                  </w: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confi</w:t>
                  </w:r>
                  <w:r w:rsidR="00DB66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rmed with sleep study </w:t>
                  </w:r>
                  <w:r w:rsidR="0073381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January 20</w:t>
                  </w:r>
                  <w:r w:rsidR="002843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11</w:t>
                  </w:r>
                </w:p>
                <w:p w14:paraId="62C57827" w14:textId="408683BF" w:rsidR="00E11542" w:rsidRPr="003B0519" w:rsidRDefault="00E11542" w:rsidP="00057415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Uses CPAP machine at night </w:t>
                  </w:r>
                </w:p>
                <w:p w14:paraId="23A7B320" w14:textId="421AF7A3" w:rsidR="00B27F96" w:rsidRPr="003B0519" w:rsidRDefault="00B27F96" w:rsidP="00057415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ascii="Calibri" w:hAnsi="Calibri" w:cs="Verdana"/>
                      <w:sz w:val="20"/>
                      <w:szCs w:val="20"/>
                    </w:rPr>
                    <w:t>Myocardial infarction (MI</w:t>
                  </w:r>
                  <w:r w:rsidR="00175E3E" w:rsidRPr="003B0519">
                    <w:rPr>
                      <w:rFonts w:ascii="Calibri" w:hAnsi="Calibri" w:cs="Verdana"/>
                      <w:sz w:val="20"/>
                      <w:szCs w:val="20"/>
                    </w:rPr>
                    <w:t>) 2007</w:t>
                  </w:r>
                  <w:r w:rsidRPr="003B0519">
                    <w:rPr>
                      <w:rFonts w:ascii="Calibri" w:hAnsi="Calibri" w:cs="Verdana"/>
                      <w:sz w:val="20"/>
                      <w:szCs w:val="20"/>
                    </w:rPr>
                    <w:t xml:space="preserve"> with </w:t>
                  </w:r>
                  <w:r w:rsidR="00175E3E">
                    <w:rPr>
                      <w:rFonts w:ascii="Calibri" w:hAnsi="Calibri" w:cs="Verdana"/>
                      <w:sz w:val="20"/>
                      <w:szCs w:val="20"/>
                    </w:rPr>
                    <w:t xml:space="preserve">left </w:t>
                  </w:r>
                  <w:r w:rsidRPr="003B0519">
                    <w:rPr>
                      <w:rFonts w:ascii="Calibri" w:hAnsi="Calibri" w:cs="Verdana"/>
                      <w:sz w:val="20"/>
                      <w:szCs w:val="20"/>
                    </w:rPr>
                    <w:t>coronary artery stenting</w:t>
                  </w:r>
                </w:p>
              </w:tc>
              <w:tc>
                <w:tcPr>
                  <w:tcW w:w="3506" w:type="dxa"/>
                  <w:shd w:val="clear" w:color="auto" w:fill="auto"/>
                </w:tcPr>
                <w:p w14:paraId="738F8619" w14:textId="579CE23C" w:rsidR="00FC3007" w:rsidRPr="003B0519" w:rsidRDefault="00175E3E" w:rsidP="00057415">
                  <w:pPr>
                    <w:numPr>
                      <w:ilvl w:val="0"/>
                      <w:numId w:val="5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Married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with 2 grown children</w:t>
                  </w:r>
                </w:p>
                <w:p w14:paraId="6418651E" w14:textId="1B5844B4" w:rsidR="0073381B" w:rsidRDefault="00175E3E" w:rsidP="00057415">
                  <w:pPr>
                    <w:numPr>
                      <w:ilvl w:val="0"/>
                      <w:numId w:val="5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Teacher</w:t>
                  </w:r>
                </w:p>
                <w:p w14:paraId="7832E9D9" w14:textId="6EFF5E1A" w:rsidR="00FC3007" w:rsidRPr="003B0519" w:rsidRDefault="008A582A" w:rsidP="00057415">
                  <w:pPr>
                    <w:numPr>
                      <w:ilvl w:val="0"/>
                      <w:numId w:val="5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Consumes </w:t>
                  </w:r>
                  <w:r w:rsidR="00175E3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units of alcohol per day</w:t>
                  </w:r>
                </w:p>
                <w:p w14:paraId="544213B4" w14:textId="2D6DB411" w:rsidR="006D0949" w:rsidRDefault="006D0949" w:rsidP="00057415">
                  <w:pPr>
                    <w:numPr>
                      <w:ilvl w:val="0"/>
                      <w:numId w:val="5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Independent with daily cares</w:t>
                  </w:r>
                  <w:r w:rsidR="001D002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64A1BBED" w14:textId="692522CB" w:rsidR="0028436E" w:rsidRPr="001D0029" w:rsidRDefault="0028436E" w:rsidP="00057415">
                  <w:pPr>
                    <w:numPr>
                      <w:ilvl w:val="0"/>
                      <w:numId w:val="5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Smokes 10 cigarettes/day</w:t>
                  </w:r>
                </w:p>
                <w:p w14:paraId="05FAD38F" w14:textId="77777777" w:rsidR="00FC3007" w:rsidRPr="003B0519" w:rsidRDefault="00FC3007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u w:val="single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u w:val="single"/>
                      <w:lang w:eastAsia="en-AU"/>
                    </w:rPr>
                    <w:t>Family history</w:t>
                  </w:r>
                </w:p>
                <w:p w14:paraId="0292CF66" w14:textId="35FB228D" w:rsidR="00FC3007" w:rsidRPr="003B0519" w:rsidRDefault="00FC3007" w:rsidP="00057415">
                  <w:pPr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Father RIP </w:t>
                  </w:r>
                  <w:r w:rsidR="00175E3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bowel cancer</w:t>
                  </w:r>
                </w:p>
                <w:p w14:paraId="552B233E" w14:textId="2E6A42BC" w:rsidR="00FC3007" w:rsidRPr="003B0519" w:rsidRDefault="00FC3007" w:rsidP="00057415">
                  <w:pPr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Mother </w:t>
                  </w:r>
                  <w:r w:rsidR="008C22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84</w:t>
                  </w:r>
                  <w:r w:rsidR="00CC46E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8C22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years of age: </w:t>
                  </w:r>
                  <w:r w:rsidR="00CC46E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history of </w:t>
                  </w:r>
                  <w:r w:rsidR="00175E3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cardiac disease</w:t>
                  </w:r>
                  <w:r w:rsidR="00CC46E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</w:tbl>
          <w:p w14:paraId="10308798" w14:textId="26B83102" w:rsidR="00FC3007" w:rsidRPr="003B0519" w:rsidRDefault="00FC3007" w:rsidP="00057415">
            <w:pPr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 w:rsidRPr="003B0519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>Postoperative</w:t>
            </w:r>
            <w:r w:rsidR="00B27F96" w:rsidRPr="003B0519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 xml:space="preserve"> clinical data</w:t>
            </w:r>
          </w:p>
          <w:p w14:paraId="0CE5FFDF" w14:textId="44213CC8" w:rsidR="00175E3E" w:rsidRPr="003B0519" w:rsidRDefault="00175E3E" w:rsidP="00057415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Wendy</w:t>
            </w:r>
            <w:r w:rsidR="00FC3007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A816B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returned from theatre at </w:t>
            </w:r>
            <w:r w:rsidR="00276C2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2000</w:t>
            </w:r>
            <w:r w:rsidR="008A582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F1E4A" w:rsidRPr="008F1E4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following a</w:t>
            </w:r>
            <w:r w:rsidR="003C4688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 open</w:t>
            </w:r>
            <w:r w:rsidR="008F1E4A" w:rsidRPr="008F1E4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right hemicolectomy for a poorly differentiated adenocarcinoma of the ascending colon with lymph node metastasis in </w:t>
            </w:r>
            <w:r w:rsidR="0028436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four</w:t>
            </w:r>
            <w:r w:rsidR="008F1E4A" w:rsidRPr="008F1E4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28436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of the</w:t>
            </w:r>
            <w:r w:rsidR="008F1E4A" w:rsidRPr="008F1E4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28 dissected lymph nodes.  </w:t>
            </w:r>
            <w:r w:rsidR="00FC3007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You</w:t>
            </w:r>
            <w:r w:rsidR="00F43EF7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are the </w:t>
            </w:r>
            <w:r w:rsidR="0028436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registered </w:t>
            </w:r>
            <w:r w:rsidR="00F43EF7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nurse looking after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Wendy</w:t>
            </w:r>
            <w:r w:rsidR="003A5A9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28436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on the day shift </w:t>
            </w:r>
            <w:r w:rsidR="00276C2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following</w:t>
            </w:r>
            <w:r w:rsidR="0028436E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her surgery. </w:t>
            </w:r>
            <w:r w:rsidR="00F43EF7" w:rsidRPr="003B051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 </w:t>
            </w:r>
          </w:p>
          <w:tbl>
            <w:tblPr>
              <w:tblW w:w="9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7"/>
              <w:gridCol w:w="2535"/>
              <w:gridCol w:w="4231"/>
            </w:tblGrid>
            <w:tr w:rsidR="00FC3007" w:rsidRPr="003B0519" w14:paraId="593C0B6B" w14:textId="77777777" w:rsidTr="00FD4DCB">
              <w:trPr>
                <w:trHeight w:val="276"/>
              </w:trPr>
              <w:tc>
                <w:tcPr>
                  <w:tcW w:w="2397" w:type="dxa"/>
                  <w:shd w:val="clear" w:color="auto" w:fill="FFC000"/>
                </w:tcPr>
                <w:p w14:paraId="56B02781" w14:textId="52222871" w:rsidR="00FC3007" w:rsidRPr="003B0519" w:rsidRDefault="00FC3007" w:rsidP="003B051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Observations</w:t>
                  </w:r>
                  <w:r w:rsidR="00F43EF7" w:rsidRPr="003B05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276C2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0800</w:t>
                  </w:r>
                </w:p>
              </w:tc>
              <w:tc>
                <w:tcPr>
                  <w:tcW w:w="2535" w:type="dxa"/>
                  <w:shd w:val="clear" w:color="auto" w:fill="FFC000"/>
                </w:tcPr>
                <w:p w14:paraId="3EE8598E" w14:textId="77777777" w:rsidR="00FC3007" w:rsidRPr="003B0519" w:rsidRDefault="00FC3007" w:rsidP="003B051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Medications</w:t>
                  </w:r>
                </w:p>
              </w:tc>
              <w:tc>
                <w:tcPr>
                  <w:tcW w:w="4231" w:type="dxa"/>
                  <w:shd w:val="clear" w:color="auto" w:fill="FFC000"/>
                </w:tcPr>
                <w:p w14:paraId="72C06051" w14:textId="77777777" w:rsidR="00FC3007" w:rsidRPr="003B0519" w:rsidRDefault="00FC3007" w:rsidP="003B051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Post-operative orders</w:t>
                  </w:r>
                </w:p>
              </w:tc>
            </w:tr>
            <w:tr w:rsidR="00FC3007" w:rsidRPr="003B0519" w14:paraId="70901F6A" w14:textId="77777777" w:rsidTr="00FD4DCB">
              <w:trPr>
                <w:trHeight w:val="4296"/>
              </w:trPr>
              <w:tc>
                <w:tcPr>
                  <w:tcW w:w="2397" w:type="dxa"/>
                  <w:shd w:val="clear" w:color="auto" w:fill="auto"/>
                </w:tcPr>
                <w:p w14:paraId="6F8EFBC8" w14:textId="59084591" w:rsidR="00F43EF7" w:rsidRPr="003B0519" w:rsidRDefault="00CC46E2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BP 9</w:t>
                  </w:r>
                  <w:r w:rsidR="002843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0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/55mmHg</w:t>
                  </w:r>
                </w:p>
                <w:p w14:paraId="5B5E27C8" w14:textId="16A74CB5" w:rsidR="00FC3007" w:rsidRPr="003B0519" w:rsidRDefault="00CC46E2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Pulse: 1</w:t>
                  </w:r>
                  <w:r w:rsidR="002843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10</w:t>
                  </w:r>
                  <w:r w:rsidR="00F43EF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and regular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Respiratory rate</w:t>
                  </w:r>
                  <w:r w:rsidR="00F43EF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: 12/min shallow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S</w:t>
                  </w:r>
                  <w:r w:rsidR="00E6297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p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O2 95% 2 litres </w:t>
                  </w:r>
                  <w:r w:rsidR="00F43EF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via nasal prongs, T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emperature 37.</w:t>
                  </w:r>
                  <w:r w:rsidR="001D002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8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°C Axilla, </w:t>
                  </w:r>
                </w:p>
                <w:p w14:paraId="462914DF" w14:textId="77777777" w:rsidR="00FC3007" w:rsidRPr="003B0519" w:rsidRDefault="00FC3007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Sedation score = 1-2</w:t>
                  </w:r>
                </w:p>
                <w:p w14:paraId="31129A76" w14:textId="77777777" w:rsidR="00FC3007" w:rsidRPr="003B0519" w:rsidRDefault="00FC3007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Vacudrain in-situ </w:t>
                  </w:r>
                  <w:r w:rsidR="006D0949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4</w:t>
                  </w:r>
                  <w:r w:rsidR="00F43EF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00</w:t>
                  </w: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 ml in bag</w:t>
                  </w:r>
                </w:p>
                <w:p w14:paraId="31BC667A" w14:textId="13D856BD" w:rsidR="00FC3007" w:rsidRPr="003B0519" w:rsidRDefault="00FC3007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Es</w:t>
                  </w:r>
                  <w:r w:rsidR="006D0949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timated blood loss (EBL) in OT </w:t>
                  </w:r>
                  <w:r w:rsidR="002843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6</w:t>
                  </w: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00ml</w:t>
                  </w:r>
                </w:p>
                <w:p w14:paraId="23B42659" w14:textId="706CF243" w:rsidR="00F43EF7" w:rsidRPr="003B0519" w:rsidRDefault="00A816B7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Urine output via a Foley IDC: </w:t>
                  </w:r>
                  <w:r w:rsidR="00E1154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10-15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mls/hour </w:t>
                  </w:r>
                  <w:r w:rsidR="00F43EF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&lt;1ml/kg/hour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last three hours </w:t>
                  </w:r>
                </w:p>
                <w:p w14:paraId="512FD782" w14:textId="77777777" w:rsidR="005806AB" w:rsidRPr="003B0519" w:rsidRDefault="005806AB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Pain score 6 on a scale of 0-10</w:t>
                  </w:r>
                </w:p>
                <w:p w14:paraId="336B7264" w14:textId="77777777" w:rsidR="00FC3007" w:rsidRPr="003B0519" w:rsidRDefault="001D0029" w:rsidP="00057415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Midline abdominal dressing (minimal ooze)</w:t>
                  </w:r>
                </w:p>
                <w:p w14:paraId="3C1029D7" w14:textId="77777777" w:rsidR="00FC3007" w:rsidRPr="003B0519" w:rsidRDefault="00FC3007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5321E9D5" w14:textId="77777777" w:rsidR="00FC3007" w:rsidRPr="003B0519" w:rsidRDefault="00FC300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Simvastatin 40mg nocte</w:t>
                  </w:r>
                </w:p>
                <w:p w14:paraId="57146A38" w14:textId="77777777" w:rsidR="00FC3007" w:rsidRPr="003B0519" w:rsidRDefault="004B07FB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C</w:t>
                  </w:r>
                  <w:r w:rsidR="00CC46E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aptopril 100 </w:t>
                  </w:r>
                  <w:r w:rsidRPr="004B07F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mg/day</w:t>
                  </w:r>
                </w:p>
                <w:p w14:paraId="1F0F4AD8" w14:textId="183E789D" w:rsidR="00FC3007" w:rsidRPr="003B0519" w:rsidRDefault="00CC46E2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Aspirin </w:t>
                  </w:r>
                  <w:r w:rsidR="00E1154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100 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mg mane</w:t>
                  </w:r>
                </w:p>
                <w:p w14:paraId="28B70EB2" w14:textId="77777777" w:rsidR="00FC3007" w:rsidRPr="003B0519" w:rsidRDefault="00CC46E2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Fentanyl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PCA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20mcg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bolus: 5 minute lockout</w:t>
                  </w:r>
                </w:p>
                <w:p w14:paraId="11BB8E6B" w14:textId="6D8453B8" w:rsidR="00F43EF7" w:rsidRDefault="00F43EF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Regular paracetamol 1G QID</w:t>
                  </w:r>
                  <w:r w:rsidR="003C468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(PO/IV</w:t>
                  </w:r>
                  <w:r w:rsidR="001D002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)</w:t>
                  </w:r>
                </w:p>
                <w:p w14:paraId="088CA97E" w14:textId="2E34E9C0" w:rsidR="0028436E" w:rsidRPr="0028436E" w:rsidRDefault="0028436E" w:rsidP="0028436E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Tramadol 50-100mg QID prn (PO/IV)</w:t>
                  </w:r>
                </w:p>
                <w:p w14:paraId="63536AD9" w14:textId="6762CFA3" w:rsidR="00FC3007" w:rsidRPr="003B0519" w:rsidRDefault="00CC46E2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Oxygen </w:t>
                  </w:r>
                  <w:r w:rsidR="002843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2</w:t>
                  </w:r>
                  <w:r w:rsidR="00FC3007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L via nasal prongs</w:t>
                  </w:r>
                </w:p>
                <w:p w14:paraId="1236E7B8" w14:textId="2B514E0C" w:rsidR="00FC3007" w:rsidRPr="003C4688" w:rsidRDefault="00FC300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Intravenous infusion: Sodium Chlorid</w:t>
                  </w:r>
                  <w:r w:rsidR="00A816B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e 0.9% </w:t>
                  </w:r>
                  <w:r w:rsidR="00A816B7" w:rsidRPr="003C468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(Normal Saline) (NaCl) </w:t>
                  </w:r>
                  <w:r w:rsidR="00E1154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80ml</w:t>
                  </w:r>
                  <w:r w:rsidRPr="003C468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/hour</w:t>
                  </w:r>
                </w:p>
                <w:p w14:paraId="5F642BFF" w14:textId="64FB85B9" w:rsidR="00A816B7" w:rsidRPr="003C4688" w:rsidRDefault="00A816B7" w:rsidP="00057415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Calibri" w:hAnsi="Calibri" w:cs="Verdana"/>
                      <w:sz w:val="20"/>
                      <w:szCs w:val="20"/>
                    </w:rPr>
                  </w:pPr>
                  <w:r w:rsidRPr="003C4688">
                    <w:rPr>
                      <w:rFonts w:ascii="Calibri" w:hAnsi="Calibri" w:cs="Verdana"/>
                      <w:sz w:val="20"/>
                      <w:szCs w:val="20"/>
                    </w:rPr>
                    <w:t>IV</w:t>
                  </w:r>
                  <w:r w:rsidR="003C4688">
                    <w:rPr>
                      <w:rFonts w:ascii="Calibri" w:hAnsi="Calibri" w:cs="Verdana"/>
                      <w:sz w:val="20"/>
                      <w:szCs w:val="20"/>
                    </w:rPr>
                    <w:t xml:space="preserve"> </w:t>
                  </w:r>
                  <w:r w:rsidRPr="003C4688">
                    <w:rPr>
                      <w:rFonts w:ascii="Calibri" w:hAnsi="Calibri" w:cs="Verdana"/>
                      <w:sz w:val="20"/>
                      <w:szCs w:val="20"/>
                    </w:rPr>
                    <w:t>Cefoxitin 2gms</w:t>
                  </w:r>
                  <w:r w:rsidR="006B2E41">
                    <w:rPr>
                      <w:rFonts w:ascii="Calibri" w:hAnsi="Calibri" w:cs="Verdana"/>
                      <w:sz w:val="20"/>
                      <w:szCs w:val="20"/>
                    </w:rPr>
                    <w:t xml:space="preserve"> TDS</w:t>
                  </w:r>
                </w:p>
                <w:p w14:paraId="20F8D1A5" w14:textId="77777777" w:rsidR="00A816B7" w:rsidRPr="003B0519" w:rsidRDefault="00A816B7" w:rsidP="00057415">
                  <w:pPr>
                    <w:spacing w:after="0" w:line="276" w:lineRule="auto"/>
                    <w:ind w:left="360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31" w:type="dxa"/>
                  <w:shd w:val="clear" w:color="auto" w:fill="auto"/>
                </w:tcPr>
                <w:p w14:paraId="048F7206" w14:textId="5DCB9D8E" w:rsidR="00A816B7" w:rsidRDefault="001D0029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A816B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Midline abdominal </w:t>
                  </w:r>
                  <w:r w:rsidR="006D0949" w:rsidRPr="00A816B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dressing </w:t>
                  </w:r>
                </w:p>
                <w:p w14:paraId="0E1603CF" w14:textId="77777777" w:rsidR="006D0949" w:rsidRPr="00A816B7" w:rsidRDefault="006D0949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A816B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Mobilise day 1 with physiotherapist</w:t>
                  </w:r>
                </w:p>
                <w:p w14:paraId="7D9CD571" w14:textId="77777777" w:rsidR="00FC3007" w:rsidRPr="003B0519" w:rsidRDefault="00A816B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Sips of fluid only</w:t>
                  </w:r>
                </w:p>
                <w:p w14:paraId="04B54791" w14:textId="77777777" w:rsidR="00FE05A8" w:rsidRPr="003B0519" w:rsidRDefault="00FE05A8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Remove IDC 0800</w:t>
                  </w:r>
                  <w:r w:rsidR="00A20379"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,</w:t>
                  </w: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day 1</w:t>
                  </w:r>
                </w:p>
                <w:p w14:paraId="39872E5D" w14:textId="77777777" w:rsidR="00FC3007" w:rsidRPr="003B0519" w:rsidRDefault="00FC300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DVT prophylaxis –TED stockings </w:t>
                  </w:r>
                  <w:r w:rsidRPr="003B0519" w:rsidDel="005002A2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120A7177" w14:textId="77777777" w:rsidR="00FC3007" w:rsidRPr="003B0519" w:rsidRDefault="00FC300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Pain management</w:t>
                  </w:r>
                </w:p>
                <w:p w14:paraId="35AFA73E" w14:textId="77777777" w:rsidR="00FC3007" w:rsidRPr="003B0519" w:rsidRDefault="00FC300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GP follow up 2/52</w:t>
                  </w:r>
                </w:p>
                <w:p w14:paraId="2EAFB42A" w14:textId="15326E8C" w:rsidR="00FC3007" w:rsidRDefault="00FC3007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3B051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OPD appointment 6/52 with </w:t>
                  </w:r>
                  <w:r w:rsidR="003C468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Dr </w:t>
                  </w:r>
                  <w:r w:rsidR="002843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Bryant</w:t>
                  </w:r>
                </w:p>
                <w:p w14:paraId="259F8367" w14:textId="3F101F36" w:rsidR="00A816B7" w:rsidRPr="003B0519" w:rsidRDefault="00175E3E" w:rsidP="00057415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Wendy</w:t>
                  </w:r>
                  <w:r w:rsidR="006B2E4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A816B7" w:rsidRPr="00A816B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  <w:t>will have 20 doses of adjuvant chemotherapy as an outpatient over the next three months.</w:t>
                  </w:r>
                </w:p>
                <w:p w14:paraId="7380DF94" w14:textId="77777777" w:rsidR="00FC3007" w:rsidRDefault="00FC3007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14:paraId="320E36D0" w14:textId="77777777" w:rsidR="00FC3962" w:rsidRDefault="00FC3962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14:paraId="6659A1C0" w14:textId="77777777" w:rsidR="00FC3962" w:rsidRDefault="00FC3962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14:paraId="179F3AF0" w14:textId="77777777" w:rsidR="00FC3962" w:rsidRDefault="00FC3962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14:paraId="52A4CA26" w14:textId="77777777" w:rsidR="00FC3962" w:rsidRDefault="00FC3962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14:paraId="16EC0027" w14:textId="77777777" w:rsidR="00FC3962" w:rsidRDefault="00FC3962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  <w:p w14:paraId="76CEA4AB" w14:textId="77777777" w:rsidR="00FC3962" w:rsidRPr="003B0519" w:rsidRDefault="00FC3962" w:rsidP="00057415">
                  <w:pPr>
                    <w:spacing w:after="0" w:line="276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641229E7" w14:textId="1D862A68" w:rsidR="00057415" w:rsidRPr="003B0519" w:rsidRDefault="00057415" w:rsidP="003B0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2D3374" w:rsidRPr="003B0519" w14:paraId="7986E3BA" w14:textId="77777777" w:rsidTr="00FC3962">
        <w:trPr>
          <w:trHeight w:val="120"/>
        </w:trPr>
        <w:tc>
          <w:tcPr>
            <w:tcW w:w="1352" w:type="dxa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E1F9086" w14:textId="77777777" w:rsidR="002D3374" w:rsidRPr="00FC3962" w:rsidRDefault="0038407B" w:rsidP="00523C3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C396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lastRenderedPageBreak/>
              <w:t>T</w:t>
            </w:r>
            <w:r w:rsidR="002D3374" w:rsidRPr="00FC3962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ask description</w:t>
            </w:r>
          </w:p>
        </w:tc>
        <w:tc>
          <w:tcPr>
            <w:tcW w:w="984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BF81D67" w14:textId="784F3544" w:rsidR="00F864FA" w:rsidRPr="00A20B1D" w:rsidRDefault="002D3374" w:rsidP="00D8447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20B1D">
              <w:rPr>
                <w:rFonts w:cstheme="minorHAnsi"/>
                <w:sz w:val="20"/>
                <w:szCs w:val="20"/>
              </w:rPr>
              <w:t>This assignmen</w:t>
            </w:r>
            <w:r w:rsidR="0038407B" w:rsidRPr="00A20B1D">
              <w:rPr>
                <w:rFonts w:cstheme="minorHAnsi"/>
                <w:sz w:val="20"/>
                <w:szCs w:val="20"/>
              </w:rPr>
              <w:t>t requires you to consider the case scenario of</w:t>
            </w:r>
            <w:r w:rsidRPr="00A20B1D">
              <w:rPr>
                <w:rFonts w:cstheme="minorHAnsi"/>
                <w:sz w:val="20"/>
                <w:szCs w:val="20"/>
              </w:rPr>
              <w:t xml:space="preserve"> </w:t>
            </w:r>
            <w:r w:rsidR="00175E3E">
              <w:rPr>
                <w:rFonts w:cstheme="minorHAnsi"/>
                <w:sz w:val="20"/>
                <w:szCs w:val="20"/>
              </w:rPr>
              <w:t>Wendy Green</w:t>
            </w:r>
            <w:r w:rsidR="004B07FB" w:rsidRPr="00A20B1D">
              <w:rPr>
                <w:rFonts w:cstheme="minorHAnsi"/>
                <w:sz w:val="20"/>
                <w:szCs w:val="20"/>
              </w:rPr>
              <w:t xml:space="preserve"> </w:t>
            </w:r>
            <w:r w:rsidR="00FC3007" w:rsidRPr="00A20B1D">
              <w:rPr>
                <w:rFonts w:cstheme="minorHAnsi"/>
                <w:sz w:val="20"/>
                <w:szCs w:val="20"/>
              </w:rPr>
              <w:t xml:space="preserve">who has undergone a </w:t>
            </w:r>
            <w:r w:rsidR="004B07FB" w:rsidRPr="00A20B1D">
              <w:rPr>
                <w:rFonts w:cstheme="minorHAnsi"/>
                <w:sz w:val="20"/>
                <w:szCs w:val="20"/>
              </w:rPr>
              <w:t>laparotomy</w:t>
            </w:r>
            <w:r w:rsidR="00D84476" w:rsidRPr="00A20B1D">
              <w:rPr>
                <w:rFonts w:cstheme="minorHAnsi"/>
                <w:sz w:val="20"/>
                <w:szCs w:val="20"/>
              </w:rPr>
              <w:t>.</w:t>
            </w:r>
          </w:p>
          <w:p w14:paraId="388CBF27" w14:textId="77777777" w:rsidR="002D3374" w:rsidRPr="00A20B1D" w:rsidRDefault="00FF24D6" w:rsidP="00D8447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20B1D">
              <w:rPr>
                <w:rFonts w:cstheme="minorHAnsi"/>
                <w:bCs/>
                <w:sz w:val="20"/>
                <w:szCs w:val="20"/>
              </w:rPr>
              <w:t xml:space="preserve">Your answer will concentrate on the </w:t>
            </w:r>
            <w:r w:rsidRPr="00A20B1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first 24 hours </w:t>
            </w:r>
            <w:r w:rsidRPr="00A20B1D">
              <w:rPr>
                <w:rFonts w:cstheme="minorHAnsi"/>
                <w:bCs/>
                <w:sz w:val="20"/>
                <w:szCs w:val="20"/>
              </w:rPr>
              <w:t>of post-surgical care.</w:t>
            </w:r>
          </w:p>
          <w:p w14:paraId="61A81EAE" w14:textId="77777777" w:rsidR="00057415" w:rsidRDefault="00057415" w:rsidP="00D8447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4BAE294" w14:textId="66839997" w:rsidR="00CA310B" w:rsidRDefault="00CA310B" w:rsidP="00D8447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CA310B">
              <w:rPr>
                <w:rFonts w:cstheme="minorHAnsi"/>
                <w:b/>
                <w:sz w:val="20"/>
                <w:szCs w:val="20"/>
              </w:rPr>
              <w:t>Subheadings are required for each question</w:t>
            </w:r>
          </w:p>
          <w:p w14:paraId="3F470E80" w14:textId="77777777" w:rsidR="007960DA" w:rsidRPr="00A20B1D" w:rsidRDefault="007960DA" w:rsidP="00D8447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0930330" w14:textId="77777777" w:rsidR="0038407B" w:rsidRPr="00A20B1D" w:rsidRDefault="0038407B" w:rsidP="00D8447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A20B1D">
              <w:rPr>
                <w:rFonts w:cstheme="minorHAnsi"/>
                <w:b/>
                <w:sz w:val="20"/>
                <w:szCs w:val="20"/>
              </w:rPr>
              <w:t>1. Provide an</w:t>
            </w:r>
            <w:r w:rsidR="00BF62E1">
              <w:rPr>
                <w:rFonts w:cstheme="minorHAnsi"/>
                <w:b/>
                <w:sz w:val="20"/>
                <w:szCs w:val="20"/>
              </w:rPr>
              <w:t xml:space="preserve"> INTRODUCTION (approximately 100</w:t>
            </w:r>
            <w:r w:rsidRPr="00A20B1D">
              <w:rPr>
                <w:rFonts w:cstheme="minorHAnsi"/>
                <w:b/>
                <w:sz w:val="20"/>
                <w:szCs w:val="20"/>
              </w:rPr>
              <w:t xml:space="preserve"> words) </w:t>
            </w:r>
          </w:p>
          <w:p w14:paraId="72EDFD7C" w14:textId="77777777" w:rsidR="00467E06" w:rsidRPr="00A20B1D" w:rsidRDefault="0038407B" w:rsidP="00467E0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20B1D">
              <w:rPr>
                <w:rFonts w:cstheme="minorHAnsi"/>
                <w:sz w:val="20"/>
                <w:szCs w:val="20"/>
              </w:rPr>
              <w:t xml:space="preserve">An introduction </w:t>
            </w:r>
            <w:r w:rsidR="00A71E24">
              <w:rPr>
                <w:rFonts w:cstheme="minorHAnsi"/>
                <w:sz w:val="20"/>
                <w:szCs w:val="20"/>
              </w:rPr>
              <w:t xml:space="preserve">will </w:t>
            </w:r>
            <w:r w:rsidRPr="00A20B1D">
              <w:rPr>
                <w:rFonts w:cstheme="minorHAnsi"/>
                <w:sz w:val="20"/>
                <w:szCs w:val="20"/>
              </w:rPr>
              <w:t xml:space="preserve">provide clear scope about the direction of your assignment. </w:t>
            </w:r>
            <w:r w:rsidR="005806AB" w:rsidRPr="00A20B1D">
              <w:rPr>
                <w:rFonts w:cstheme="minorHAnsi"/>
                <w:sz w:val="20"/>
                <w:szCs w:val="20"/>
              </w:rPr>
              <w:t xml:space="preserve"> This includes providing some background to your essay (not restating the case) and defining the issue</w:t>
            </w:r>
            <w:r w:rsidR="00A71E24">
              <w:rPr>
                <w:rFonts w:cstheme="minorHAnsi"/>
                <w:sz w:val="20"/>
                <w:szCs w:val="20"/>
              </w:rPr>
              <w:t xml:space="preserve">s that you will be addressing in your discussion. </w:t>
            </w:r>
          </w:p>
          <w:p w14:paraId="2F226EF7" w14:textId="77777777" w:rsidR="00E90909" w:rsidRDefault="00E90909" w:rsidP="002258DB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D2B0074" w14:textId="3CF79FD6" w:rsidR="0029296C" w:rsidRPr="00A20B1D" w:rsidRDefault="00EE7E9A" w:rsidP="0029296C">
            <w:pPr>
              <w:spacing w:after="0"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20B1D">
              <w:rPr>
                <w:rFonts w:cstheme="minorHAnsi"/>
                <w:b/>
                <w:sz w:val="20"/>
                <w:szCs w:val="20"/>
              </w:rPr>
              <w:t>Part A</w:t>
            </w:r>
            <w:r w:rsidR="00BF62E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29296C" w:rsidRPr="00A20B1D">
              <w:rPr>
                <w:rFonts w:ascii="Calibri" w:hAnsi="Calibri" w:cs="Arial"/>
                <w:b/>
                <w:sz w:val="20"/>
                <w:szCs w:val="20"/>
              </w:rPr>
              <w:t>Analys</w:t>
            </w:r>
            <w:r w:rsidR="0029296C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29296C" w:rsidRPr="00A20B1D">
              <w:rPr>
                <w:rFonts w:ascii="Calibri" w:hAnsi="Calibri" w:cs="Arial"/>
                <w:b/>
                <w:sz w:val="20"/>
                <w:szCs w:val="20"/>
              </w:rPr>
              <w:t xml:space="preserve"> the case to identify</w:t>
            </w:r>
            <w:r w:rsidR="0029296C">
              <w:rPr>
                <w:rFonts w:ascii="Calibri" w:hAnsi="Calibri" w:cs="Arial"/>
                <w:b/>
                <w:sz w:val="20"/>
                <w:szCs w:val="20"/>
              </w:rPr>
              <w:t xml:space="preserve"> potential clinical issues </w:t>
            </w:r>
            <w:r w:rsidR="0058705F">
              <w:rPr>
                <w:rFonts w:ascii="Calibri" w:hAnsi="Calibri" w:cs="Arial"/>
                <w:b/>
                <w:sz w:val="20"/>
                <w:szCs w:val="20"/>
              </w:rPr>
              <w:t xml:space="preserve">and relevant nursing care </w:t>
            </w:r>
            <w:r w:rsidR="00305852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29296C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8705F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29296C" w:rsidRPr="00A20B1D">
              <w:rPr>
                <w:rFonts w:ascii="Calibri" w:hAnsi="Calibri" w:cs="Arial"/>
                <w:b/>
                <w:sz w:val="20"/>
                <w:szCs w:val="20"/>
              </w:rPr>
              <w:t>00 words)</w:t>
            </w:r>
          </w:p>
          <w:p w14:paraId="2342A212" w14:textId="3EF840EB" w:rsidR="0029296C" w:rsidRPr="0058705F" w:rsidRDefault="00E66BA7" w:rsidP="0058705F">
            <w:pPr>
              <w:spacing w:after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705F">
              <w:rPr>
                <w:rFonts w:cstheme="minorHAnsi"/>
                <w:sz w:val="20"/>
                <w:szCs w:val="20"/>
              </w:rPr>
              <w:t>This section will focus on the first 24 hours of post-surgical care</w:t>
            </w:r>
            <w:r w:rsidR="00316F57" w:rsidRPr="0058705F">
              <w:rPr>
                <w:rFonts w:cstheme="minorHAnsi"/>
                <w:sz w:val="20"/>
                <w:szCs w:val="20"/>
              </w:rPr>
              <w:t xml:space="preserve"> and</w:t>
            </w:r>
            <w:r w:rsidR="0029296C" w:rsidRPr="0058705F">
              <w:rPr>
                <w:rFonts w:cstheme="minorHAnsi"/>
                <w:sz w:val="20"/>
                <w:szCs w:val="20"/>
              </w:rPr>
              <w:t xml:space="preserve"> involves</w:t>
            </w:r>
            <w:r w:rsidR="00316F57" w:rsidRPr="0058705F">
              <w:rPr>
                <w:rFonts w:cstheme="minorHAnsi"/>
                <w:sz w:val="20"/>
                <w:szCs w:val="20"/>
              </w:rPr>
              <w:t xml:space="preserve"> prioritising </w:t>
            </w:r>
            <w:r w:rsidR="0058705F">
              <w:rPr>
                <w:rFonts w:cstheme="minorHAnsi"/>
                <w:sz w:val="20"/>
                <w:szCs w:val="20"/>
              </w:rPr>
              <w:t xml:space="preserve">nursing </w:t>
            </w:r>
            <w:r w:rsidR="00316F57" w:rsidRPr="0058705F">
              <w:rPr>
                <w:rFonts w:cstheme="minorHAnsi"/>
                <w:sz w:val="20"/>
                <w:szCs w:val="20"/>
              </w:rPr>
              <w:t xml:space="preserve">care for </w:t>
            </w:r>
            <w:r w:rsidR="00175E3E">
              <w:rPr>
                <w:rFonts w:cstheme="minorHAnsi"/>
                <w:sz w:val="20"/>
                <w:szCs w:val="20"/>
              </w:rPr>
              <w:t>Wendy</w:t>
            </w:r>
            <w:r w:rsidR="0029296C" w:rsidRPr="0058705F">
              <w:rPr>
                <w:rFonts w:cstheme="minorHAnsi"/>
                <w:sz w:val="20"/>
                <w:szCs w:val="20"/>
              </w:rPr>
              <w:t xml:space="preserve">.  </w:t>
            </w:r>
            <w:r w:rsidR="0029296C" w:rsidRPr="0058705F">
              <w:rPr>
                <w:rFonts w:ascii="Calibri" w:hAnsi="Calibri" w:cs="Arial"/>
                <w:sz w:val="20"/>
                <w:szCs w:val="20"/>
              </w:rPr>
              <w:t xml:space="preserve">Consider </w:t>
            </w:r>
            <w:r w:rsidR="00175E3E">
              <w:rPr>
                <w:rFonts w:ascii="Calibri" w:hAnsi="Calibri" w:cs="Arial"/>
                <w:sz w:val="20"/>
                <w:szCs w:val="20"/>
              </w:rPr>
              <w:t>Wendy</w:t>
            </w:r>
            <w:r w:rsidR="0029296C" w:rsidRPr="0058705F">
              <w:rPr>
                <w:rFonts w:ascii="Calibri" w:hAnsi="Calibri" w:cs="Arial"/>
                <w:sz w:val="20"/>
                <w:szCs w:val="20"/>
              </w:rPr>
              <w:t>’s co-morbidities including obstructive sleep apnoea (OSA)</w:t>
            </w:r>
            <w:r w:rsidR="0058705F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29296C" w:rsidRPr="0058705F">
              <w:rPr>
                <w:rFonts w:ascii="Calibri" w:hAnsi="Calibri" w:cs="Arial"/>
                <w:sz w:val="20"/>
                <w:szCs w:val="20"/>
              </w:rPr>
              <w:t xml:space="preserve">previous MI, </w:t>
            </w:r>
            <w:r w:rsidR="0028436E">
              <w:rPr>
                <w:rFonts w:ascii="Calibri" w:hAnsi="Calibri" w:cs="Arial"/>
                <w:sz w:val="20"/>
                <w:szCs w:val="20"/>
              </w:rPr>
              <w:t xml:space="preserve">asthma, </w:t>
            </w:r>
            <w:r w:rsidR="00175E3E" w:rsidRPr="0058705F">
              <w:rPr>
                <w:rFonts w:ascii="Calibri" w:hAnsi="Calibri" w:cs="Arial"/>
                <w:sz w:val="20"/>
                <w:szCs w:val="20"/>
              </w:rPr>
              <w:t>hypertension,</w:t>
            </w:r>
            <w:r w:rsidR="0029296C" w:rsidRPr="0058705F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29296C" w:rsidRPr="0058705F">
              <w:rPr>
                <w:rFonts w:ascii="Calibri" w:hAnsi="Calibri" w:cs="Verdana"/>
                <w:sz w:val="20"/>
                <w:szCs w:val="20"/>
              </w:rPr>
              <w:t>hypercholesterolemia</w:t>
            </w:r>
            <w:r w:rsidR="0029296C" w:rsidRPr="0058705F">
              <w:rPr>
                <w:rFonts w:ascii="Calibri" w:hAnsi="Calibri" w:cs="Arial"/>
                <w:sz w:val="20"/>
                <w:szCs w:val="20"/>
              </w:rPr>
              <w:t xml:space="preserve"> in the context of having a general anaesthetic (GA) and </w:t>
            </w:r>
            <w:r w:rsidR="0058705F">
              <w:rPr>
                <w:rFonts w:ascii="Calibri" w:hAnsi="Calibri" w:cs="Arial"/>
                <w:sz w:val="20"/>
                <w:szCs w:val="20"/>
              </w:rPr>
              <w:t>in identifying your clinical issues.</w:t>
            </w:r>
          </w:p>
          <w:p w14:paraId="658197C3" w14:textId="77777777" w:rsidR="00316F57" w:rsidRDefault="00316F57" w:rsidP="002258D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2EB1D3F2" w14:textId="1F4BB4EE" w:rsidR="00084D87" w:rsidRPr="00316F57" w:rsidRDefault="00084D87" w:rsidP="00316F5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</w:t>
            </w:r>
            <w:r w:rsidR="00316F57">
              <w:rPr>
                <w:rFonts w:cstheme="minorHAnsi"/>
                <w:b/>
                <w:sz w:val="20"/>
                <w:szCs w:val="20"/>
              </w:rPr>
              <w:t>THREE</w:t>
            </w:r>
            <w:r>
              <w:rPr>
                <w:rFonts w:cstheme="minorHAnsi"/>
                <w:b/>
                <w:sz w:val="20"/>
                <w:szCs w:val="20"/>
              </w:rPr>
              <w:t xml:space="preserve"> (3)</w:t>
            </w:r>
            <w:r w:rsidRPr="00B001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0016C">
              <w:rPr>
                <w:rFonts w:cstheme="minorHAnsi"/>
                <w:b/>
                <w:sz w:val="20"/>
                <w:szCs w:val="20"/>
                <w:u w:val="single"/>
              </w:rPr>
              <w:t>PRIORITY</w:t>
            </w:r>
            <w:r w:rsidRPr="00B0016C">
              <w:rPr>
                <w:rFonts w:cstheme="minorHAnsi"/>
                <w:sz w:val="20"/>
                <w:szCs w:val="20"/>
              </w:rPr>
              <w:t xml:space="preserve"> clinical </w:t>
            </w:r>
            <w:r w:rsidR="00316F57">
              <w:rPr>
                <w:rFonts w:cstheme="minorHAnsi"/>
                <w:sz w:val="20"/>
                <w:szCs w:val="20"/>
              </w:rPr>
              <w:t xml:space="preserve">issues </w:t>
            </w:r>
            <w:r w:rsidRPr="00B0016C">
              <w:rPr>
                <w:rFonts w:cstheme="minorHAnsi"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5E3E">
              <w:rPr>
                <w:rFonts w:cstheme="minorHAnsi"/>
                <w:sz w:val="20"/>
                <w:szCs w:val="20"/>
              </w:rPr>
              <w:t>Wendy</w:t>
            </w:r>
            <w:r w:rsidR="00316F57">
              <w:rPr>
                <w:rFonts w:cstheme="minorHAnsi"/>
                <w:sz w:val="20"/>
                <w:szCs w:val="20"/>
              </w:rPr>
              <w:t xml:space="preserve"> </w:t>
            </w:r>
            <w:r w:rsidRPr="00316F57">
              <w:rPr>
                <w:rFonts w:cstheme="minorHAnsi"/>
                <w:sz w:val="20"/>
                <w:szCs w:val="20"/>
              </w:rPr>
              <w:t>e.g. at risk of severe pain</w:t>
            </w:r>
          </w:p>
          <w:p w14:paraId="0E275DF6" w14:textId="77777777" w:rsidR="00316F57" w:rsidRPr="00316F57" w:rsidRDefault="00316F57" w:rsidP="00316F57">
            <w:pPr>
              <w:pStyle w:val="ListParagraph"/>
              <w:spacing w:after="0" w:line="360" w:lineRule="auto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213CA06" w14:textId="06D5380E" w:rsidR="00057415" w:rsidRPr="00057415" w:rsidRDefault="00C61AB0" w:rsidP="0005741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57415">
              <w:rPr>
                <w:rFonts w:cstheme="minorHAnsi"/>
                <w:sz w:val="20"/>
                <w:szCs w:val="20"/>
              </w:rPr>
              <w:t>Identify</w:t>
            </w:r>
            <w:r w:rsidR="00B0016C" w:rsidRPr="00057415">
              <w:rPr>
                <w:rFonts w:cstheme="minorHAnsi"/>
                <w:sz w:val="20"/>
                <w:szCs w:val="20"/>
              </w:rPr>
              <w:t xml:space="preserve"> </w:t>
            </w:r>
            <w:r w:rsidR="00DC6FC2" w:rsidRPr="00057415">
              <w:rPr>
                <w:rFonts w:cstheme="minorHAnsi"/>
                <w:b/>
                <w:sz w:val="20"/>
                <w:szCs w:val="20"/>
              </w:rPr>
              <w:t>NURSING INTERVENTIONS</w:t>
            </w:r>
            <w:r w:rsidR="00B0016C" w:rsidRPr="00057415">
              <w:rPr>
                <w:rFonts w:cstheme="minorHAnsi"/>
                <w:sz w:val="20"/>
                <w:szCs w:val="20"/>
              </w:rPr>
              <w:t xml:space="preserve"> </w:t>
            </w:r>
            <w:r w:rsidR="0029296C" w:rsidRPr="00057415">
              <w:rPr>
                <w:rFonts w:cstheme="minorHAnsi"/>
                <w:sz w:val="20"/>
                <w:szCs w:val="20"/>
              </w:rPr>
              <w:t>f</w:t>
            </w:r>
            <w:r w:rsidR="003A4193" w:rsidRPr="00057415">
              <w:rPr>
                <w:rFonts w:cstheme="minorHAnsi"/>
                <w:sz w:val="20"/>
                <w:szCs w:val="20"/>
              </w:rPr>
              <w:t xml:space="preserve">or each of the </w:t>
            </w:r>
            <w:r w:rsidR="007960DA" w:rsidRPr="00057415">
              <w:rPr>
                <w:rFonts w:cstheme="minorHAnsi"/>
                <w:b/>
                <w:bCs/>
                <w:sz w:val="20"/>
                <w:szCs w:val="20"/>
                <w:u w:val="single"/>
              </w:rPr>
              <w:t>three</w:t>
            </w:r>
            <w:r w:rsidR="003A4193" w:rsidRPr="00057415">
              <w:rPr>
                <w:rFonts w:cstheme="minorHAnsi"/>
                <w:sz w:val="20"/>
                <w:szCs w:val="20"/>
              </w:rPr>
              <w:t xml:space="preserve"> clinical issues</w:t>
            </w:r>
            <w:r w:rsidR="00872538" w:rsidRPr="0005741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9296C" w:rsidRPr="00057415">
              <w:rPr>
                <w:rFonts w:cstheme="minorHAnsi"/>
                <w:sz w:val="20"/>
                <w:szCs w:val="20"/>
              </w:rPr>
              <w:t>e.g. Encourage deep breathing exercises hourly</w:t>
            </w:r>
          </w:p>
          <w:p w14:paraId="3B5A82E2" w14:textId="4CFC6E94" w:rsidR="00872538" w:rsidRPr="0029296C" w:rsidRDefault="0029296C" w:rsidP="0029296C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72538" w:rsidRPr="00A20B1D">
              <w:rPr>
                <w:rFonts w:cstheme="minorHAnsi"/>
                <w:sz w:val="20"/>
                <w:szCs w:val="20"/>
              </w:rPr>
              <w:t xml:space="preserve">rovide </w:t>
            </w:r>
            <w:r w:rsidRPr="0029296C">
              <w:rPr>
                <w:rFonts w:cstheme="minorHAnsi"/>
                <w:b/>
                <w:bCs/>
                <w:sz w:val="20"/>
                <w:szCs w:val="20"/>
              </w:rPr>
              <w:t>RATIONALES</w:t>
            </w:r>
            <w:r w:rsidR="00872538" w:rsidRPr="00A20B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for each nursing intervention. </w:t>
            </w:r>
            <w:r w:rsidR="00057415">
              <w:rPr>
                <w:rFonts w:cstheme="minorHAnsi"/>
                <w:sz w:val="20"/>
                <w:szCs w:val="20"/>
              </w:rPr>
              <w:t>Rationales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6F57" w:rsidRPr="0029296C">
              <w:rPr>
                <w:rFonts w:cstheme="minorHAnsi"/>
                <w:sz w:val="20"/>
                <w:szCs w:val="20"/>
              </w:rPr>
              <w:t xml:space="preserve">justify </w:t>
            </w:r>
            <w:r w:rsidR="00B0016C" w:rsidRPr="0029296C">
              <w:rPr>
                <w:rFonts w:cstheme="minorHAnsi"/>
                <w:sz w:val="20"/>
                <w:szCs w:val="20"/>
              </w:rPr>
              <w:t xml:space="preserve">your interventions </w:t>
            </w:r>
            <w:r w:rsidR="00316F57" w:rsidRPr="0029296C">
              <w:rPr>
                <w:rFonts w:cstheme="minorHAnsi"/>
                <w:sz w:val="20"/>
                <w:szCs w:val="20"/>
              </w:rPr>
              <w:t xml:space="preserve">and are </w:t>
            </w:r>
            <w:r w:rsidR="00B0016C" w:rsidRPr="0029296C">
              <w:rPr>
                <w:rFonts w:cstheme="minorHAnsi"/>
                <w:sz w:val="20"/>
                <w:szCs w:val="20"/>
              </w:rPr>
              <w:t>referenced</w:t>
            </w:r>
            <w:r w:rsidR="00316F57" w:rsidRPr="0029296C">
              <w:rPr>
                <w:rFonts w:cstheme="minorHAnsi"/>
                <w:sz w:val="20"/>
                <w:szCs w:val="20"/>
              </w:rPr>
              <w:t xml:space="preserve">. </w:t>
            </w:r>
            <w:r w:rsidR="00E11542">
              <w:rPr>
                <w:rFonts w:cstheme="minorHAnsi"/>
                <w:sz w:val="20"/>
                <w:szCs w:val="20"/>
              </w:rPr>
              <w:t xml:space="preserve">Suggestion: Intervention: </w:t>
            </w:r>
            <w:r w:rsidR="00872538" w:rsidRPr="0029296C">
              <w:rPr>
                <w:rFonts w:cstheme="minorHAnsi"/>
                <w:sz w:val="20"/>
                <w:szCs w:val="20"/>
              </w:rPr>
              <w:t>Encourage deep breathing exercises including use of the spirometry</w:t>
            </w:r>
            <w:r w:rsidR="00E11542">
              <w:rPr>
                <w:rFonts w:cstheme="minorHAnsi"/>
                <w:sz w:val="20"/>
                <w:szCs w:val="20"/>
              </w:rPr>
              <w:t>,</w:t>
            </w:r>
            <w:r w:rsidR="00872538" w:rsidRPr="0029296C">
              <w:rPr>
                <w:rFonts w:cstheme="minorHAnsi"/>
                <w:sz w:val="20"/>
                <w:szCs w:val="20"/>
              </w:rPr>
              <w:t xml:space="preserve"> hourly; </w:t>
            </w:r>
            <w:r w:rsidR="00E11542" w:rsidRPr="00E11542">
              <w:rPr>
                <w:rFonts w:cstheme="minorHAnsi"/>
                <w:sz w:val="20"/>
                <w:szCs w:val="20"/>
              </w:rPr>
              <w:t xml:space="preserve">Rationale: Smith (2019) surmises that this promotes normal lung expansion </w:t>
            </w:r>
            <w:r w:rsidR="00872538" w:rsidRPr="0029296C">
              <w:rPr>
                <w:rFonts w:cstheme="minorHAnsi"/>
                <w:sz w:val="20"/>
                <w:szCs w:val="20"/>
              </w:rPr>
              <w:t>increases oxygen levels,</w:t>
            </w:r>
            <w:r w:rsidR="00E11542">
              <w:rPr>
                <w:rFonts w:cstheme="minorHAnsi"/>
                <w:sz w:val="20"/>
                <w:szCs w:val="20"/>
              </w:rPr>
              <w:t xml:space="preserve"> and</w:t>
            </w:r>
            <w:r w:rsidR="00872538" w:rsidRPr="0029296C">
              <w:rPr>
                <w:rFonts w:cstheme="minorHAnsi"/>
                <w:sz w:val="20"/>
                <w:szCs w:val="20"/>
              </w:rPr>
              <w:t xml:space="preserve"> is useful in preventing pneumonia and atelectasis</w:t>
            </w:r>
          </w:p>
          <w:p w14:paraId="1A5BFC0F" w14:textId="77777777" w:rsidR="00E90909" w:rsidRDefault="00E90909" w:rsidP="00872538">
            <w:pPr>
              <w:spacing w:after="0"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90DDD97" w14:textId="483E6B64" w:rsidR="00A20B1D" w:rsidRPr="00A20B1D" w:rsidRDefault="00BF62E1" w:rsidP="00A20B1D">
            <w:pPr>
              <w:spacing w:after="0" w:line="360" w:lineRule="auto"/>
              <w:jc w:val="both"/>
              <w:rPr>
                <w:rFonts w:ascii="Calibri" w:eastAsia="MS Gothic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eastAsia="MS Gothic" w:hAnsi="Calibri" w:cs="Arial"/>
                <w:b/>
                <w:sz w:val="20"/>
                <w:szCs w:val="20"/>
              </w:rPr>
              <w:t xml:space="preserve">Part </w:t>
            </w:r>
            <w:r w:rsidR="0058705F">
              <w:rPr>
                <w:rFonts w:ascii="Calibri" w:eastAsia="MS Gothic" w:hAnsi="Calibri" w:cs="Arial"/>
                <w:b/>
                <w:sz w:val="20"/>
                <w:szCs w:val="20"/>
              </w:rPr>
              <w:t>B</w:t>
            </w:r>
            <w:r>
              <w:rPr>
                <w:rFonts w:ascii="Calibri" w:eastAsia="MS Gothic" w:hAnsi="Calibri" w:cs="Arial"/>
                <w:b/>
                <w:sz w:val="20"/>
                <w:szCs w:val="20"/>
              </w:rPr>
              <w:t>: Discharge planning (</w:t>
            </w:r>
            <w:r w:rsidR="0058705F">
              <w:rPr>
                <w:rFonts w:ascii="Calibri" w:eastAsia="MS Gothic" w:hAnsi="Calibri" w:cs="Arial"/>
                <w:b/>
                <w:sz w:val="20"/>
                <w:szCs w:val="20"/>
              </w:rPr>
              <w:t>7</w:t>
            </w:r>
            <w:r w:rsidR="00A20B1D" w:rsidRPr="00A20B1D">
              <w:rPr>
                <w:rFonts w:ascii="Calibri" w:eastAsia="MS Gothic" w:hAnsi="Calibri" w:cs="Arial"/>
                <w:b/>
                <w:sz w:val="20"/>
                <w:szCs w:val="20"/>
              </w:rPr>
              <w:t>00 words)</w:t>
            </w:r>
          </w:p>
          <w:p w14:paraId="13FAB3BD" w14:textId="6DDBEF3A" w:rsidR="00A20B1D" w:rsidRPr="00A20B1D" w:rsidRDefault="00A20B1D" w:rsidP="000600B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A20B1D">
              <w:rPr>
                <w:rFonts w:eastAsia="MS Gothic" w:cstheme="minorHAnsi"/>
                <w:sz w:val="20"/>
                <w:szCs w:val="20"/>
              </w:rPr>
              <w:t>Plan and prioritise discharge advice</w:t>
            </w:r>
            <w:r w:rsidR="00805A0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A20B1D">
              <w:rPr>
                <w:rFonts w:eastAsia="MS Gothic" w:cstheme="minorHAnsi"/>
                <w:sz w:val="20"/>
                <w:szCs w:val="20"/>
              </w:rPr>
              <w:t xml:space="preserve">for </w:t>
            </w:r>
            <w:r w:rsidR="00175E3E">
              <w:rPr>
                <w:rFonts w:cstheme="minorHAnsi"/>
                <w:sz w:val="20"/>
                <w:szCs w:val="20"/>
              </w:rPr>
              <w:t>Wendy</w:t>
            </w:r>
            <w:r w:rsidR="006B2E41">
              <w:rPr>
                <w:rFonts w:cstheme="minorHAnsi"/>
                <w:sz w:val="20"/>
                <w:szCs w:val="20"/>
              </w:rPr>
              <w:t>.</w:t>
            </w:r>
          </w:p>
          <w:p w14:paraId="13CE10E3" w14:textId="722F3EC5" w:rsidR="00A20B1D" w:rsidRPr="00A20B1D" w:rsidRDefault="00A20B1D" w:rsidP="000600B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A20B1D">
              <w:rPr>
                <w:rFonts w:eastAsia="MS Gothic" w:cstheme="minorHAnsi"/>
                <w:sz w:val="20"/>
                <w:szCs w:val="20"/>
              </w:rPr>
              <w:t>In the discharge plan, consider the appropriate post-operative education for</w:t>
            </w:r>
            <w:r w:rsidR="006B2E41">
              <w:rPr>
                <w:rFonts w:cstheme="minorHAnsi"/>
                <w:sz w:val="20"/>
                <w:szCs w:val="20"/>
              </w:rPr>
              <w:t xml:space="preserve"> </w:t>
            </w:r>
            <w:r w:rsidR="00175E3E">
              <w:rPr>
                <w:rFonts w:cstheme="minorHAnsi"/>
                <w:sz w:val="20"/>
                <w:szCs w:val="20"/>
              </w:rPr>
              <w:t>Wendy</w:t>
            </w:r>
            <w:r w:rsidRPr="00A20B1D">
              <w:rPr>
                <w:rFonts w:eastAsia="MS Gothic" w:cstheme="minorHAnsi"/>
                <w:sz w:val="20"/>
                <w:szCs w:val="20"/>
              </w:rPr>
              <w:t xml:space="preserve"> including the surgical procedure.  Concisely provide a discharge plan and education around medication, prevention of post-operative complications, psychosocial issues, and lifestyle modification</w:t>
            </w:r>
            <w:r w:rsidR="00001B4E">
              <w:rPr>
                <w:rFonts w:eastAsia="MS Gothic" w:cstheme="minorHAnsi"/>
                <w:color w:val="FF0000"/>
                <w:sz w:val="20"/>
                <w:szCs w:val="20"/>
              </w:rPr>
              <w:t>.</w:t>
            </w:r>
          </w:p>
          <w:p w14:paraId="636A82EB" w14:textId="77777777" w:rsidR="00A20B1D" w:rsidRPr="00A20B1D" w:rsidRDefault="00A20B1D" w:rsidP="000600B6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A20B1D">
              <w:rPr>
                <w:rFonts w:eastAsia="MS Gothic" w:cstheme="minorHAnsi"/>
                <w:sz w:val="20"/>
                <w:szCs w:val="20"/>
              </w:rPr>
              <w:t xml:space="preserve">Refrain from merely providing generic information.  Be succinct and appropriate in your advice but also critically evaluate the information in the case and specifically relate this to your discharge plan.  </w:t>
            </w:r>
          </w:p>
          <w:p w14:paraId="082D62E4" w14:textId="77777777" w:rsidR="00A20B1D" w:rsidRPr="00A20B1D" w:rsidRDefault="00A20B1D" w:rsidP="00D84476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377F6C" w14:textId="77777777" w:rsidR="0038407B" w:rsidRPr="00A20B1D" w:rsidRDefault="00B967E7" w:rsidP="00D8447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20B1D">
              <w:rPr>
                <w:rFonts w:cstheme="minorHAnsi"/>
                <w:b/>
                <w:sz w:val="20"/>
                <w:szCs w:val="20"/>
              </w:rPr>
              <w:t>Provide a CONCLUSION</w:t>
            </w:r>
            <w:r w:rsidR="0038407B" w:rsidRPr="00A20B1D">
              <w:rPr>
                <w:rFonts w:cstheme="minorHAnsi"/>
                <w:sz w:val="20"/>
                <w:szCs w:val="20"/>
              </w:rPr>
              <w:t xml:space="preserve"> </w:t>
            </w:r>
            <w:r w:rsidR="00BF62E1">
              <w:rPr>
                <w:rFonts w:cstheme="minorHAnsi"/>
                <w:b/>
                <w:sz w:val="20"/>
                <w:szCs w:val="20"/>
              </w:rPr>
              <w:t>(approximately 100</w:t>
            </w:r>
            <w:r w:rsidR="0038407B" w:rsidRPr="00A20B1D">
              <w:rPr>
                <w:rFonts w:cstheme="minorHAnsi"/>
                <w:b/>
                <w:sz w:val="20"/>
                <w:szCs w:val="20"/>
              </w:rPr>
              <w:t xml:space="preserve"> words) </w:t>
            </w:r>
          </w:p>
          <w:p w14:paraId="7C202DB8" w14:textId="77777777" w:rsidR="0038407B" w:rsidRPr="00A20B1D" w:rsidRDefault="0038407B" w:rsidP="00D8447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20B1D">
              <w:rPr>
                <w:rFonts w:cstheme="minorHAnsi"/>
                <w:sz w:val="20"/>
                <w:szCs w:val="20"/>
              </w:rPr>
              <w:t xml:space="preserve"> Your conclusion succinctly summarises the main points of your assignment but this section is not an opportunity to introd</w:t>
            </w:r>
            <w:r w:rsidR="00B00A28" w:rsidRPr="00A20B1D">
              <w:rPr>
                <w:rFonts w:cstheme="minorHAnsi"/>
                <w:sz w:val="20"/>
                <w:szCs w:val="20"/>
              </w:rPr>
              <w:t>uce new information.</w:t>
            </w:r>
          </w:p>
        </w:tc>
      </w:tr>
    </w:tbl>
    <w:p w14:paraId="46DB4863" w14:textId="77777777" w:rsidR="0038407B" w:rsidRPr="003B0519" w:rsidRDefault="0038407B" w:rsidP="00523C3F">
      <w:pPr>
        <w:spacing w:line="360" w:lineRule="auto"/>
        <w:rPr>
          <w:rFonts w:cstheme="minorHAnsi"/>
          <w:sz w:val="20"/>
          <w:szCs w:val="20"/>
        </w:rPr>
      </w:pPr>
      <w:r w:rsidRPr="003B0519">
        <w:rPr>
          <w:rFonts w:cstheme="minorHAnsi"/>
          <w:sz w:val="20"/>
          <w:szCs w:val="20"/>
        </w:rPr>
        <w:br w:type="page"/>
      </w:r>
    </w:p>
    <w:p w14:paraId="6574D481" w14:textId="77777777" w:rsidR="009D0B6B" w:rsidRPr="003B0519" w:rsidRDefault="009D0B6B" w:rsidP="00523C3F">
      <w:pPr>
        <w:spacing w:before="240" w:line="360" w:lineRule="auto"/>
        <w:rPr>
          <w:rFonts w:cstheme="minorHAnsi"/>
          <w:sz w:val="20"/>
          <w:szCs w:val="20"/>
        </w:rPr>
      </w:pPr>
      <w:r w:rsidRPr="003B0519">
        <w:rPr>
          <w:rFonts w:eastAsia="Times New Roman" w:cstheme="minorHAnsi"/>
          <w:b/>
          <w:bCs/>
          <w:color w:val="000000"/>
          <w:sz w:val="20"/>
          <w:szCs w:val="20"/>
          <w:lang w:eastAsia="en-AU"/>
        </w:rPr>
        <w:lastRenderedPageBreak/>
        <w:t>Submission</w:t>
      </w:r>
      <w:r w:rsidRPr="003B0519">
        <w:rPr>
          <w:rFonts w:cstheme="minorHAnsi"/>
          <w:sz w:val="20"/>
          <w:szCs w:val="20"/>
        </w:rPr>
        <w:t xml:space="preserve"> </w:t>
      </w:r>
      <w:r w:rsidRPr="003B0519">
        <w:rPr>
          <w:rFonts w:eastAsia="Times New Roman" w:cstheme="minorHAnsi"/>
          <w:b/>
          <w:bCs/>
          <w:color w:val="000000"/>
          <w:sz w:val="20"/>
          <w:szCs w:val="20"/>
          <w:lang w:eastAsia="en-AU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9533"/>
      </w:tblGrid>
      <w:tr w:rsidR="00FE05A8" w:rsidRPr="00DC7E96" w14:paraId="4EF8C7FA" w14:textId="77777777" w:rsidTr="00881A12">
        <w:tc>
          <w:tcPr>
            <w:tcW w:w="0" w:type="auto"/>
            <w:shd w:val="clear" w:color="auto" w:fill="FFC000" w:themeFill="accent4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095133" w14:textId="77777777" w:rsidR="00FE05A8" w:rsidRPr="00DC7E96" w:rsidRDefault="00CA310B" w:rsidP="00523C3F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Assignment Tips</w:t>
            </w:r>
          </w:p>
        </w:tc>
        <w:tc>
          <w:tcPr>
            <w:tcW w:w="0" w:type="auto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7CE06D" w14:textId="77777777" w:rsidR="00501A90" w:rsidRPr="00DC7E96" w:rsidRDefault="00501A90" w:rsidP="00501A90">
            <w:pPr>
              <w:spacing w:after="200" w:line="276" w:lineRule="auto"/>
              <w:jc w:val="both"/>
              <w:rPr>
                <w:rFonts w:ascii="Calibri" w:eastAsia="MS Gothic" w:hAnsi="Calibri" w:cs="Verdana-Bold"/>
                <w:bCs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696"/>
            </w:tblGrid>
            <w:tr w:rsidR="00501A90" w:rsidRPr="00DC7E96" w14:paraId="237386D6" w14:textId="77777777" w:rsidTr="00226110">
              <w:tc>
                <w:tcPr>
                  <w:tcW w:w="2802" w:type="dxa"/>
                  <w:shd w:val="clear" w:color="auto" w:fill="D9D9D9"/>
                </w:tcPr>
                <w:p w14:paraId="0FBA99B5" w14:textId="77777777" w:rsidR="00501A90" w:rsidRPr="00DC7E96" w:rsidRDefault="00501A90" w:rsidP="00501A90">
                  <w:pPr>
                    <w:spacing w:after="0" w:line="360" w:lineRule="auto"/>
                    <w:jc w:val="center"/>
                    <w:rPr>
                      <w:rFonts w:ascii="Calibri" w:eastAsia="Verdana" w:hAnsi="Calibri" w:cs="Verdana"/>
                      <w:b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Verdana"/>
                      <w:b/>
                      <w:sz w:val="20"/>
                      <w:szCs w:val="20"/>
                    </w:rPr>
                    <w:t xml:space="preserve">ASSIGNMENT </w:t>
                  </w:r>
                </w:p>
              </w:tc>
              <w:tc>
                <w:tcPr>
                  <w:tcW w:w="6696" w:type="dxa"/>
                  <w:shd w:val="clear" w:color="auto" w:fill="D9D9D9"/>
                </w:tcPr>
                <w:p w14:paraId="04A75BA5" w14:textId="77777777" w:rsidR="00501A90" w:rsidRPr="00DC7E96" w:rsidRDefault="00501A90" w:rsidP="00501A90">
                  <w:pPr>
                    <w:spacing w:after="0" w:line="360" w:lineRule="auto"/>
                    <w:jc w:val="center"/>
                    <w:rPr>
                      <w:rFonts w:ascii="Calibri" w:eastAsia="Verdana" w:hAnsi="Calibri" w:cs="Verdana"/>
                      <w:b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Verdana"/>
                      <w:b/>
                      <w:sz w:val="20"/>
                      <w:szCs w:val="20"/>
                    </w:rPr>
                    <w:t>DETAILS</w:t>
                  </w:r>
                </w:p>
              </w:tc>
            </w:tr>
            <w:tr w:rsidR="00501A90" w:rsidRPr="00DC7E96" w14:paraId="09E50C10" w14:textId="77777777" w:rsidTr="00226110">
              <w:tc>
                <w:tcPr>
                  <w:tcW w:w="2802" w:type="dxa"/>
                  <w:shd w:val="clear" w:color="auto" w:fill="auto"/>
                </w:tcPr>
                <w:p w14:paraId="22087492" w14:textId="77777777" w:rsidR="00501A90" w:rsidRPr="00DC7E96" w:rsidRDefault="00501A90" w:rsidP="00501A90">
                  <w:pPr>
                    <w:spacing w:after="0" w:line="360" w:lineRule="auto"/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 xml:space="preserve">Introduction </w:t>
                  </w:r>
                </w:p>
                <w:p w14:paraId="396CBAB0" w14:textId="77777777" w:rsidR="00501A90" w:rsidRPr="00DC7E96" w:rsidRDefault="00501A90" w:rsidP="00501A90">
                  <w:pPr>
                    <w:spacing w:after="0" w:line="360" w:lineRule="auto"/>
                    <w:rPr>
                      <w:rFonts w:ascii="Calibri" w:eastAsia="Verdana" w:hAnsi="Calibri" w:cs="Verdana"/>
                      <w:b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>(approx. 100 words)</w:t>
                  </w:r>
                </w:p>
                <w:p w14:paraId="1B42CDE1" w14:textId="77777777" w:rsidR="00501A90" w:rsidRPr="00DC7E96" w:rsidRDefault="00501A90" w:rsidP="00501A90">
                  <w:pPr>
                    <w:spacing w:after="200" w:line="360" w:lineRule="auto"/>
                    <w:rPr>
                      <w:rFonts w:ascii="Calibri" w:eastAsia="MS Gothic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96" w:type="dxa"/>
                  <w:shd w:val="clear" w:color="auto" w:fill="auto"/>
                </w:tcPr>
                <w:p w14:paraId="6CE0DF57" w14:textId="6BFC1C05" w:rsidR="00501A90" w:rsidRPr="00DC7E96" w:rsidRDefault="00501A90" w:rsidP="00501A90">
                  <w:pPr>
                    <w:spacing w:after="0" w:line="276" w:lineRule="auto"/>
                    <w:rPr>
                      <w:rFonts w:ascii="Calibri" w:eastAsia="Verdana" w:hAnsi="Calibri" w:cs="Verdana"/>
                      <w:b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Provide an overview of the structure of the assignment. Provide a brief overview of how you will approach each section. Outline examples in your essay that will be used to respond to the assignment question.  </w:t>
                  </w:r>
                  <w:r w:rsidR="003043BF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Do not restate the case </w:t>
                  </w:r>
                </w:p>
              </w:tc>
            </w:tr>
            <w:tr w:rsidR="00501A90" w:rsidRPr="00DC7E96" w14:paraId="7FD42B5D" w14:textId="77777777" w:rsidTr="00226110">
              <w:tc>
                <w:tcPr>
                  <w:tcW w:w="9498" w:type="dxa"/>
                  <w:gridSpan w:val="2"/>
                  <w:shd w:val="clear" w:color="auto" w:fill="D9D9D9"/>
                </w:tcPr>
                <w:p w14:paraId="330C743E" w14:textId="42E3158C" w:rsidR="00501A90" w:rsidRPr="00DC7E96" w:rsidRDefault="00501A90" w:rsidP="00501A90">
                  <w:pPr>
                    <w:spacing w:after="0" w:line="360" w:lineRule="auto"/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 xml:space="preserve">Part </w:t>
                  </w:r>
                  <w:r w:rsidR="000600B6" w:rsidRPr="00DC7E96">
                    <w:rPr>
                      <w:rFonts w:ascii="Calibri" w:eastAsia="Verdana" w:hAnsi="Calibri" w:cs="Times New Roman"/>
                      <w:b/>
                      <w:color w:val="000000"/>
                      <w:sz w:val="20"/>
                      <w:szCs w:val="20"/>
                    </w:rPr>
                    <w:t>A</w:t>
                  </w:r>
                  <w:r w:rsidR="00F16160">
                    <w:rPr>
                      <w:rFonts w:ascii="Calibri" w:eastAsia="Verdana" w:hAnsi="Calibri" w:cs="Times New Roman"/>
                      <w:b/>
                      <w:color w:val="000000"/>
                      <w:sz w:val="20"/>
                      <w:szCs w:val="20"/>
                    </w:rPr>
                    <w:t xml:space="preserve">: Identifying clinical issues, proposing nursing interventions and rationales </w:t>
                  </w:r>
                </w:p>
              </w:tc>
            </w:tr>
            <w:tr w:rsidR="00501A90" w:rsidRPr="00DC7E96" w14:paraId="76F26A82" w14:textId="77777777" w:rsidTr="00226110">
              <w:tc>
                <w:tcPr>
                  <w:tcW w:w="2802" w:type="dxa"/>
                  <w:shd w:val="clear" w:color="auto" w:fill="auto"/>
                </w:tcPr>
                <w:p w14:paraId="09907B82" w14:textId="3BB83473" w:rsidR="00501A90" w:rsidRPr="00DC7E96" w:rsidRDefault="00F16160" w:rsidP="00501A90">
                  <w:pPr>
                    <w:spacing w:after="0" w:line="360" w:lineRule="auto"/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 xml:space="preserve">Clinical issues </w:t>
                  </w:r>
                  <w:r w:rsidR="005856C6"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96" w:type="dxa"/>
                  <w:shd w:val="clear" w:color="auto" w:fill="auto"/>
                </w:tcPr>
                <w:p w14:paraId="198EFA3E" w14:textId="20A951EE" w:rsidR="00F16160" w:rsidRDefault="00F16160" w:rsidP="00F16160">
                  <w:pPr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Calibri" w:eastAsia="Verdana" w:hAnsi="Calibri" w:cs="Times New Roman"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Choose </w:t>
                  </w:r>
                  <w:r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three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3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) prioritised </w:t>
                  </w:r>
                  <w:r w:rsidR="00E11542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actual or 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potential clinical issues. Be </w:t>
                  </w:r>
                  <w:r w:rsidR="003043BF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mindful 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of the 24</w:t>
                  </w:r>
                  <w:r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-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hour post-operative period</w:t>
                  </w:r>
                </w:p>
                <w:p w14:paraId="61655717" w14:textId="466F7409" w:rsidR="00F16160" w:rsidRPr="003043BF" w:rsidRDefault="003043BF" w:rsidP="003043BF">
                  <w:pPr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Calibri" w:eastAsia="Verdana" w:hAnsi="Calibri" w:cs="Times New Roman"/>
                      <w:bCs/>
                      <w:sz w:val="20"/>
                      <w:szCs w:val="20"/>
                    </w:rPr>
                  </w:pPr>
                  <w:r w:rsidRPr="003043BF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>C</w:t>
                  </w:r>
                  <w:r w:rsidR="00F16160" w:rsidRPr="003043BF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onsider pathophysiology </w:t>
                  </w:r>
                  <w:r w:rsidR="00E11542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>Wendy’s</w:t>
                  </w:r>
                  <w:r w:rsidR="00F16160" w:rsidRPr="003043BF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 co-morbidities, current medications</w:t>
                  </w:r>
                  <w:r w:rsidRPr="003043BF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>, surgery, and response to general anaesthe</w:t>
                  </w:r>
                  <w:r w:rsidR="00057415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>sia</w:t>
                  </w:r>
                </w:p>
                <w:p w14:paraId="06DEF349" w14:textId="65F537AA" w:rsidR="00501A90" w:rsidRPr="00DC7E96" w:rsidRDefault="00F16160" w:rsidP="00F16160">
                  <w:pPr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Calibri" w:eastAsia="Verdana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Consider the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relevant assessment data you have been given in the </w:t>
                  </w:r>
                  <w:r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case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and other assessment </w:t>
                  </w:r>
                  <w:r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data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you </w:t>
                  </w:r>
                  <w:r w:rsidR="003043BF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will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need to collect </w:t>
                  </w:r>
                  <w:r w:rsidR="00175E3E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to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care for</w:t>
                  </w:r>
                  <w:r w:rsidR="006B2E41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</w:t>
                  </w:r>
                  <w:r w:rsidR="00175E3E">
                    <w:rPr>
                      <w:rFonts w:cstheme="minorHAnsi"/>
                      <w:sz w:val="20"/>
                      <w:szCs w:val="20"/>
                    </w:rPr>
                    <w:t>Wendy</w:t>
                  </w:r>
                </w:p>
                <w:p w14:paraId="4101A3B7" w14:textId="3CC35B61" w:rsidR="00501A90" w:rsidRPr="00DC7E96" w:rsidRDefault="00501A90" w:rsidP="00F16160">
                  <w:pPr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ascii="Calibri" w:eastAsia="Verdana" w:hAnsi="Calibri" w:cs="Times New Roman"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It is expected that the information in this section will be referenced </w:t>
                  </w:r>
                  <w:r w:rsidR="003043BF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(Academic sources 5-6 would be reasonable for this section </w:t>
                  </w:r>
                </w:p>
              </w:tc>
            </w:tr>
            <w:tr w:rsidR="00501A90" w:rsidRPr="00DC7E96" w14:paraId="3E8BDCEB" w14:textId="77777777" w:rsidTr="00226110">
              <w:tc>
                <w:tcPr>
                  <w:tcW w:w="2802" w:type="dxa"/>
                  <w:shd w:val="clear" w:color="auto" w:fill="auto"/>
                </w:tcPr>
                <w:p w14:paraId="4CED04EC" w14:textId="77777777" w:rsidR="00501A90" w:rsidRPr="00DC7E96" w:rsidRDefault="00501A90" w:rsidP="00501A90">
                  <w:pPr>
                    <w:spacing w:after="0" w:line="360" w:lineRule="auto"/>
                    <w:rPr>
                      <w:rFonts w:ascii="Calibri" w:eastAsia="Verdana" w:hAnsi="Calibri" w:cs="Times New Roman"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>Prioritised interventions supported with researched rationales</w:t>
                  </w:r>
                </w:p>
              </w:tc>
              <w:tc>
                <w:tcPr>
                  <w:tcW w:w="6696" w:type="dxa"/>
                  <w:shd w:val="clear" w:color="auto" w:fill="auto"/>
                </w:tcPr>
                <w:p w14:paraId="79A5DF75" w14:textId="7A1DAAB4" w:rsidR="003043BF" w:rsidRDefault="003043BF" w:rsidP="000600B6">
                  <w:pPr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Calibri" w:eastAsia="Verdana" w:hAnsi="Calibri" w:cs="Times New Roman"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Evidenced based nursing interventions </w:t>
                  </w:r>
                  <w:r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and rationales </w:t>
                  </w:r>
                  <w:r w:rsidRPr="00DC7E96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should relate to pathophysiological processes </w:t>
                  </w:r>
                  <w:r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>and</w:t>
                  </w:r>
                  <w:r w:rsidRPr="00DC7E96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>aim</w:t>
                  </w:r>
                  <w:r w:rsidRPr="00DC7E96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 </w:t>
                  </w:r>
                  <w:r w:rsidR="00E11542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to </w:t>
                  </w:r>
                  <w:r w:rsidRPr="00DC7E96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>improve clinical outcomes.</w:t>
                  </w:r>
                </w:p>
                <w:p w14:paraId="54BF0DFC" w14:textId="77777777" w:rsidR="003043BF" w:rsidRDefault="003043BF" w:rsidP="003043BF">
                  <w:pPr>
                    <w:spacing w:after="0" w:line="276" w:lineRule="auto"/>
                    <w:ind w:left="720"/>
                    <w:rPr>
                      <w:rFonts w:ascii="Calibri" w:eastAsia="Verdana" w:hAnsi="Calibri" w:cs="Times New Roman"/>
                      <w:sz w:val="20"/>
                      <w:szCs w:val="20"/>
                    </w:rPr>
                  </w:pPr>
                </w:p>
                <w:p w14:paraId="0197FB2F" w14:textId="5F2AA497" w:rsidR="00501A90" w:rsidRPr="00DC7E96" w:rsidRDefault="003043BF" w:rsidP="000600B6">
                  <w:pPr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Calibri" w:eastAsia="Verdana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The rationales 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support your interventions and </w:t>
                  </w:r>
                  <w:r w:rsidR="00947B3B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justify 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why you have prioritised </w:t>
                  </w:r>
                  <w:r w:rsidR="00947B3B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clinical issues.  Rationales need to be referenced. </w:t>
                  </w:r>
                  <w:r w:rsidR="00501A90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(Academic sources 5-6 would be reasonable for this section </w:t>
                  </w:r>
                </w:p>
              </w:tc>
            </w:tr>
            <w:tr w:rsidR="00501A90" w:rsidRPr="00DC7E96" w14:paraId="747D3F06" w14:textId="77777777" w:rsidTr="00226110"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3E648A2" w14:textId="0F8237C9" w:rsidR="00501A90" w:rsidRPr="00DC7E96" w:rsidRDefault="000600B6" w:rsidP="00501A90">
                  <w:pPr>
                    <w:spacing w:after="0" w:line="276" w:lineRule="auto"/>
                    <w:rPr>
                      <w:rFonts w:ascii="Calibri" w:eastAsia="Verdana" w:hAnsi="Calibri" w:cs="Verdana-Bold"/>
                      <w:b/>
                      <w:bCs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Verdana-Bold"/>
                      <w:b/>
                      <w:bCs/>
                      <w:sz w:val="20"/>
                      <w:szCs w:val="20"/>
                    </w:rPr>
                    <w:t xml:space="preserve">Part </w:t>
                  </w:r>
                  <w:r w:rsidR="00947B3B" w:rsidRPr="00DC7E96">
                    <w:rPr>
                      <w:rFonts w:ascii="Calibri" w:eastAsia="Verdana" w:hAnsi="Calibri" w:cs="Verdana-Bold"/>
                      <w:b/>
                      <w:bCs/>
                      <w:sz w:val="20"/>
                      <w:szCs w:val="20"/>
                    </w:rPr>
                    <w:t>C</w:t>
                  </w:r>
                  <w:r w:rsidR="00947B3B">
                    <w:rPr>
                      <w:rFonts w:ascii="Calibri" w:eastAsia="Verdana" w:hAnsi="Calibri" w:cs="Verdana-Bold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="005856C6">
                    <w:rPr>
                      <w:rFonts w:ascii="Calibri" w:eastAsia="Verdana" w:hAnsi="Calibri" w:cs="Verdana-Bold"/>
                      <w:b/>
                      <w:bCs/>
                      <w:sz w:val="20"/>
                      <w:szCs w:val="20"/>
                    </w:rPr>
                    <w:t xml:space="preserve"> Discharge planning (</w:t>
                  </w:r>
                  <w:r w:rsidR="00501A90" w:rsidRPr="00DC7E96">
                    <w:rPr>
                      <w:rFonts w:ascii="Calibri" w:eastAsia="Verdana" w:hAnsi="Calibri" w:cs="Verdana-Bold"/>
                      <w:b/>
                      <w:bCs/>
                      <w:sz w:val="20"/>
                      <w:szCs w:val="20"/>
                    </w:rPr>
                    <w:t xml:space="preserve">700 words) </w:t>
                  </w:r>
                </w:p>
              </w:tc>
            </w:tr>
            <w:tr w:rsidR="00501A90" w:rsidRPr="00DC7E96" w14:paraId="09DB64C6" w14:textId="77777777" w:rsidTr="00226110">
              <w:tc>
                <w:tcPr>
                  <w:tcW w:w="2802" w:type="dxa"/>
                  <w:shd w:val="clear" w:color="auto" w:fill="FFFFFF"/>
                </w:tcPr>
                <w:p w14:paraId="03E7B0A9" w14:textId="77777777" w:rsidR="00501A90" w:rsidRPr="00DC7E96" w:rsidRDefault="00501A90" w:rsidP="00501A90">
                  <w:pPr>
                    <w:spacing w:after="0" w:line="360" w:lineRule="auto"/>
                    <w:rPr>
                      <w:rFonts w:ascii="Calibri" w:eastAsia="Verdana" w:hAnsi="Calibri" w:cs="Verdana-Bol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6" w:type="dxa"/>
                  <w:shd w:val="clear" w:color="auto" w:fill="FFFFFF"/>
                </w:tcPr>
                <w:p w14:paraId="6A70F106" w14:textId="122FEF5B" w:rsidR="00501A90" w:rsidRPr="00DC7E96" w:rsidRDefault="00501A90" w:rsidP="009268EE">
                  <w:pPr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  <w:t xml:space="preserve">Consider both physiological and psychosocial aspects in discharge planning. 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(</w:t>
                  </w:r>
                  <w:r w:rsidR="00E11542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3-5 a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cademic sources </w:t>
                  </w:r>
                  <w:r w:rsidR="00E11542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are expected</w:t>
                  </w: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 for this </w:t>
                  </w:r>
                  <w:r w:rsidR="009D30E2"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 xml:space="preserve">section) </w:t>
                  </w:r>
                  <w:r w:rsidR="009D30E2" w:rsidRPr="00DC7E96">
                    <w:rPr>
                      <w:rFonts w:ascii="Calibri" w:eastAsia="Verdana" w:hAnsi="Calibri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A90" w:rsidRPr="00DC7E96" w14:paraId="283FF4FA" w14:textId="77777777" w:rsidTr="00226110">
              <w:tc>
                <w:tcPr>
                  <w:tcW w:w="2802" w:type="dxa"/>
                  <w:shd w:val="clear" w:color="auto" w:fill="auto"/>
                </w:tcPr>
                <w:p w14:paraId="40B5C17E" w14:textId="77777777" w:rsidR="00501A90" w:rsidRPr="00DC7E96" w:rsidRDefault="00501A90" w:rsidP="00501A90">
                  <w:pPr>
                    <w:spacing w:after="0" w:line="360" w:lineRule="auto"/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>Conclusion</w:t>
                  </w:r>
                  <w:r w:rsidR="009268EE">
                    <w:rPr>
                      <w:rFonts w:ascii="Calibri" w:eastAsia="Verdana" w:hAnsi="Calibri" w:cs="Times New Roman"/>
                      <w:b/>
                      <w:sz w:val="20"/>
                      <w:szCs w:val="20"/>
                    </w:rPr>
                    <w:t xml:space="preserve"> (100 words)</w:t>
                  </w:r>
                </w:p>
              </w:tc>
              <w:tc>
                <w:tcPr>
                  <w:tcW w:w="6696" w:type="dxa"/>
                  <w:shd w:val="clear" w:color="auto" w:fill="auto"/>
                </w:tcPr>
                <w:p w14:paraId="17CCD625" w14:textId="77777777" w:rsidR="00501A90" w:rsidRPr="00DC7E96" w:rsidRDefault="00501A90" w:rsidP="000600B6">
                  <w:pPr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="Calibri" w:eastAsia="Verdana" w:hAnsi="Calibri" w:cs="Verdana-Bold"/>
                      <w:bCs/>
                      <w:sz w:val="20"/>
                      <w:szCs w:val="20"/>
                    </w:rPr>
                  </w:pPr>
                  <w:r w:rsidRPr="00DC7E96">
                    <w:rPr>
                      <w:rFonts w:ascii="Calibri" w:eastAsia="Verdana" w:hAnsi="Calibri" w:cs="Times New Roman"/>
                      <w:sz w:val="20"/>
                      <w:szCs w:val="20"/>
                    </w:rPr>
                    <w:t>Provide a critical review and summarise the main findings of the assignment.</w:t>
                  </w:r>
                </w:p>
              </w:tc>
            </w:tr>
          </w:tbl>
          <w:p w14:paraId="38A5E2C1" w14:textId="77777777" w:rsidR="00FE05A8" w:rsidRPr="00DC7E96" w:rsidRDefault="00FE05A8" w:rsidP="00501A90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B6422BC" w14:textId="77777777" w:rsidR="0094574A" w:rsidRPr="003B0519" w:rsidRDefault="0094574A" w:rsidP="00961C9A">
      <w:pPr>
        <w:spacing w:line="360" w:lineRule="auto"/>
        <w:rPr>
          <w:rFonts w:cstheme="minorHAnsi"/>
          <w:sz w:val="20"/>
          <w:szCs w:val="20"/>
        </w:rPr>
      </w:pPr>
    </w:p>
    <w:sectPr w:rsidR="0094574A" w:rsidRPr="003B0519" w:rsidSect="00F53E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9D8"/>
    <w:multiLevelType w:val="hybridMultilevel"/>
    <w:tmpl w:val="C2945ECE"/>
    <w:lvl w:ilvl="0" w:tplc="6206158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24A81"/>
    <w:multiLevelType w:val="hybridMultilevel"/>
    <w:tmpl w:val="17DA880E"/>
    <w:lvl w:ilvl="0" w:tplc="0C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 w15:restartNumberingAfterBreak="0">
    <w:nsid w:val="09EE260B"/>
    <w:multiLevelType w:val="hybridMultilevel"/>
    <w:tmpl w:val="6CA803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3084E"/>
    <w:multiLevelType w:val="hybridMultilevel"/>
    <w:tmpl w:val="B5C86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00F"/>
    <w:multiLevelType w:val="multilevel"/>
    <w:tmpl w:val="B91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778FA"/>
    <w:multiLevelType w:val="hybridMultilevel"/>
    <w:tmpl w:val="65BAE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5246"/>
    <w:multiLevelType w:val="hybridMultilevel"/>
    <w:tmpl w:val="9244C49E"/>
    <w:lvl w:ilvl="0" w:tplc="5C6AE16A">
      <w:start w:val="1"/>
      <w:numFmt w:val="decimal"/>
      <w:lvlText w:val="%1."/>
      <w:lvlJc w:val="left"/>
      <w:pPr>
        <w:ind w:left="420" w:hanging="360"/>
      </w:pPr>
      <w:rPr>
        <w:rFonts w:ascii="Calibri" w:eastAsiaTheme="minorHAnsi" w:hAnsi="Calibri" w:cs="Arial"/>
      </w:rPr>
    </w:lvl>
    <w:lvl w:ilvl="1" w:tplc="0C090019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0044CF"/>
    <w:multiLevelType w:val="hybridMultilevel"/>
    <w:tmpl w:val="25A80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1CC7"/>
    <w:multiLevelType w:val="hybridMultilevel"/>
    <w:tmpl w:val="52AE44B8"/>
    <w:lvl w:ilvl="0" w:tplc="27AAEA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3763ED7"/>
    <w:multiLevelType w:val="hybridMultilevel"/>
    <w:tmpl w:val="798EA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6404"/>
    <w:multiLevelType w:val="hybridMultilevel"/>
    <w:tmpl w:val="CDAE49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12EA0"/>
    <w:multiLevelType w:val="hybridMultilevel"/>
    <w:tmpl w:val="71987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6283A"/>
    <w:multiLevelType w:val="hybridMultilevel"/>
    <w:tmpl w:val="C85E3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53D42"/>
    <w:multiLevelType w:val="hybridMultilevel"/>
    <w:tmpl w:val="8E666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E3E57"/>
    <w:multiLevelType w:val="hybridMultilevel"/>
    <w:tmpl w:val="9E46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30D3"/>
    <w:multiLevelType w:val="hybridMultilevel"/>
    <w:tmpl w:val="9AC28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61DD"/>
    <w:multiLevelType w:val="hybridMultilevel"/>
    <w:tmpl w:val="5DF86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134E"/>
    <w:multiLevelType w:val="hybridMultilevel"/>
    <w:tmpl w:val="69B6F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B213D"/>
    <w:multiLevelType w:val="multilevel"/>
    <w:tmpl w:val="B224962E"/>
    <w:lvl w:ilvl="0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632FC"/>
    <w:multiLevelType w:val="hybridMultilevel"/>
    <w:tmpl w:val="3046658E"/>
    <w:lvl w:ilvl="0" w:tplc="BC92D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27586"/>
    <w:multiLevelType w:val="hybridMultilevel"/>
    <w:tmpl w:val="C542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235A"/>
    <w:multiLevelType w:val="hybridMultilevel"/>
    <w:tmpl w:val="DD1AB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19"/>
  </w:num>
  <w:num w:numId="12">
    <w:abstractNumId w:val="20"/>
  </w:num>
  <w:num w:numId="13">
    <w:abstractNumId w:val="21"/>
  </w:num>
  <w:num w:numId="14">
    <w:abstractNumId w:val="4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7"/>
  </w:num>
  <w:num w:numId="21">
    <w:abstractNumId w:val="15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1"/>
    <w:rsid w:val="00001B4E"/>
    <w:rsid w:val="00022CF4"/>
    <w:rsid w:val="000339D9"/>
    <w:rsid w:val="00037809"/>
    <w:rsid w:val="00037F8C"/>
    <w:rsid w:val="0004265A"/>
    <w:rsid w:val="00047578"/>
    <w:rsid w:val="000539A5"/>
    <w:rsid w:val="000565FF"/>
    <w:rsid w:val="00057415"/>
    <w:rsid w:val="000600B6"/>
    <w:rsid w:val="00070358"/>
    <w:rsid w:val="00074B22"/>
    <w:rsid w:val="000846A3"/>
    <w:rsid w:val="00084D87"/>
    <w:rsid w:val="000943F6"/>
    <w:rsid w:val="000A1918"/>
    <w:rsid w:val="000C79EA"/>
    <w:rsid w:val="000F6421"/>
    <w:rsid w:val="00105E24"/>
    <w:rsid w:val="00114AC1"/>
    <w:rsid w:val="00137740"/>
    <w:rsid w:val="001408B9"/>
    <w:rsid w:val="0017203F"/>
    <w:rsid w:val="00175E3E"/>
    <w:rsid w:val="00176EB1"/>
    <w:rsid w:val="001874FB"/>
    <w:rsid w:val="00193600"/>
    <w:rsid w:val="001B6F9B"/>
    <w:rsid w:val="001C3054"/>
    <w:rsid w:val="001D0029"/>
    <w:rsid w:val="001D2608"/>
    <w:rsid w:val="00207ECD"/>
    <w:rsid w:val="00213AE6"/>
    <w:rsid w:val="002147F0"/>
    <w:rsid w:val="002258DB"/>
    <w:rsid w:val="002462F8"/>
    <w:rsid w:val="002564E1"/>
    <w:rsid w:val="002601CB"/>
    <w:rsid w:val="00262874"/>
    <w:rsid w:val="00266D7F"/>
    <w:rsid w:val="00276C27"/>
    <w:rsid w:val="0028436E"/>
    <w:rsid w:val="0029296C"/>
    <w:rsid w:val="002D0E8E"/>
    <w:rsid w:val="002D3374"/>
    <w:rsid w:val="00304391"/>
    <w:rsid w:val="003043BF"/>
    <w:rsid w:val="00305852"/>
    <w:rsid w:val="00313BB8"/>
    <w:rsid w:val="00316F57"/>
    <w:rsid w:val="00333F60"/>
    <w:rsid w:val="003348C4"/>
    <w:rsid w:val="00355E91"/>
    <w:rsid w:val="00372148"/>
    <w:rsid w:val="00382ADC"/>
    <w:rsid w:val="0038407B"/>
    <w:rsid w:val="00397716"/>
    <w:rsid w:val="003A0711"/>
    <w:rsid w:val="003A4193"/>
    <w:rsid w:val="003A5A9E"/>
    <w:rsid w:val="003A77A6"/>
    <w:rsid w:val="003A785D"/>
    <w:rsid w:val="003B0519"/>
    <w:rsid w:val="003B3F48"/>
    <w:rsid w:val="003C4688"/>
    <w:rsid w:val="003C64F2"/>
    <w:rsid w:val="0041311C"/>
    <w:rsid w:val="00447CDE"/>
    <w:rsid w:val="00463D17"/>
    <w:rsid w:val="0046562D"/>
    <w:rsid w:val="00467E06"/>
    <w:rsid w:val="0047517E"/>
    <w:rsid w:val="004969E9"/>
    <w:rsid w:val="00497257"/>
    <w:rsid w:val="004A35EA"/>
    <w:rsid w:val="004B07FB"/>
    <w:rsid w:val="004C29F0"/>
    <w:rsid w:val="004E7C2C"/>
    <w:rsid w:val="005002A2"/>
    <w:rsid w:val="00501A90"/>
    <w:rsid w:val="00511207"/>
    <w:rsid w:val="00517BB5"/>
    <w:rsid w:val="00523C3F"/>
    <w:rsid w:val="005335A7"/>
    <w:rsid w:val="00552C9A"/>
    <w:rsid w:val="005806AB"/>
    <w:rsid w:val="00584F68"/>
    <w:rsid w:val="005856C6"/>
    <w:rsid w:val="0058703B"/>
    <w:rsid w:val="0058705F"/>
    <w:rsid w:val="005E1320"/>
    <w:rsid w:val="005F38D3"/>
    <w:rsid w:val="005F5246"/>
    <w:rsid w:val="00603AD9"/>
    <w:rsid w:val="006271AD"/>
    <w:rsid w:val="00645859"/>
    <w:rsid w:val="006650E5"/>
    <w:rsid w:val="006861D8"/>
    <w:rsid w:val="0069199C"/>
    <w:rsid w:val="006B0D33"/>
    <w:rsid w:val="006B1173"/>
    <w:rsid w:val="006B2E41"/>
    <w:rsid w:val="006C31B2"/>
    <w:rsid w:val="006D0949"/>
    <w:rsid w:val="006D1044"/>
    <w:rsid w:val="006E76A2"/>
    <w:rsid w:val="006F0C89"/>
    <w:rsid w:val="006F71B1"/>
    <w:rsid w:val="00715E95"/>
    <w:rsid w:val="00721FB9"/>
    <w:rsid w:val="0073381B"/>
    <w:rsid w:val="00760C24"/>
    <w:rsid w:val="00763BB7"/>
    <w:rsid w:val="00765A3F"/>
    <w:rsid w:val="007960DA"/>
    <w:rsid w:val="007A220D"/>
    <w:rsid w:val="007B544D"/>
    <w:rsid w:val="007D0456"/>
    <w:rsid w:val="007F4C66"/>
    <w:rsid w:val="00805A09"/>
    <w:rsid w:val="0081724A"/>
    <w:rsid w:val="008400DA"/>
    <w:rsid w:val="008643F2"/>
    <w:rsid w:val="00872538"/>
    <w:rsid w:val="00872C53"/>
    <w:rsid w:val="0087619A"/>
    <w:rsid w:val="008804C7"/>
    <w:rsid w:val="00881A12"/>
    <w:rsid w:val="008A4E94"/>
    <w:rsid w:val="008A582A"/>
    <w:rsid w:val="008B28A6"/>
    <w:rsid w:val="008C2283"/>
    <w:rsid w:val="008F1E4A"/>
    <w:rsid w:val="008F2F37"/>
    <w:rsid w:val="00900861"/>
    <w:rsid w:val="009268EE"/>
    <w:rsid w:val="0094574A"/>
    <w:rsid w:val="00947B3B"/>
    <w:rsid w:val="00961C9A"/>
    <w:rsid w:val="009713E7"/>
    <w:rsid w:val="009C3A41"/>
    <w:rsid w:val="009D0B6B"/>
    <w:rsid w:val="009D30E2"/>
    <w:rsid w:val="009E09A8"/>
    <w:rsid w:val="00A009B5"/>
    <w:rsid w:val="00A00A3D"/>
    <w:rsid w:val="00A20379"/>
    <w:rsid w:val="00A20B1D"/>
    <w:rsid w:val="00A5075A"/>
    <w:rsid w:val="00A525BF"/>
    <w:rsid w:val="00A66322"/>
    <w:rsid w:val="00A71E24"/>
    <w:rsid w:val="00A77022"/>
    <w:rsid w:val="00A816B7"/>
    <w:rsid w:val="00A93848"/>
    <w:rsid w:val="00A9590E"/>
    <w:rsid w:val="00AC1256"/>
    <w:rsid w:val="00AD3F1C"/>
    <w:rsid w:val="00B0016C"/>
    <w:rsid w:val="00B00A28"/>
    <w:rsid w:val="00B27F96"/>
    <w:rsid w:val="00B44A3E"/>
    <w:rsid w:val="00B5095B"/>
    <w:rsid w:val="00B56E46"/>
    <w:rsid w:val="00B967E7"/>
    <w:rsid w:val="00BB2D91"/>
    <w:rsid w:val="00BC110D"/>
    <w:rsid w:val="00BC7A11"/>
    <w:rsid w:val="00BD0C67"/>
    <w:rsid w:val="00BE6C25"/>
    <w:rsid w:val="00BF4FBB"/>
    <w:rsid w:val="00BF62E1"/>
    <w:rsid w:val="00C10D5D"/>
    <w:rsid w:val="00C14664"/>
    <w:rsid w:val="00C1585F"/>
    <w:rsid w:val="00C61AB0"/>
    <w:rsid w:val="00C65C4E"/>
    <w:rsid w:val="00C915BA"/>
    <w:rsid w:val="00C9593E"/>
    <w:rsid w:val="00CA1212"/>
    <w:rsid w:val="00CA310B"/>
    <w:rsid w:val="00CA5ADA"/>
    <w:rsid w:val="00CB24DE"/>
    <w:rsid w:val="00CC46E2"/>
    <w:rsid w:val="00CD5939"/>
    <w:rsid w:val="00CF068C"/>
    <w:rsid w:val="00D748F9"/>
    <w:rsid w:val="00D84476"/>
    <w:rsid w:val="00DA1476"/>
    <w:rsid w:val="00DA58D6"/>
    <w:rsid w:val="00DB6671"/>
    <w:rsid w:val="00DC6FC2"/>
    <w:rsid w:val="00DC7E96"/>
    <w:rsid w:val="00DD362F"/>
    <w:rsid w:val="00DD746C"/>
    <w:rsid w:val="00E02E21"/>
    <w:rsid w:val="00E051F1"/>
    <w:rsid w:val="00E11542"/>
    <w:rsid w:val="00E137D5"/>
    <w:rsid w:val="00E31EE0"/>
    <w:rsid w:val="00E623A7"/>
    <w:rsid w:val="00E62977"/>
    <w:rsid w:val="00E64949"/>
    <w:rsid w:val="00E66BA7"/>
    <w:rsid w:val="00E75E13"/>
    <w:rsid w:val="00E90909"/>
    <w:rsid w:val="00E96419"/>
    <w:rsid w:val="00EA1077"/>
    <w:rsid w:val="00EA18DE"/>
    <w:rsid w:val="00EA37E7"/>
    <w:rsid w:val="00EC37C1"/>
    <w:rsid w:val="00ED260F"/>
    <w:rsid w:val="00EE7E9A"/>
    <w:rsid w:val="00EF1DBB"/>
    <w:rsid w:val="00F04F96"/>
    <w:rsid w:val="00F16160"/>
    <w:rsid w:val="00F43EF7"/>
    <w:rsid w:val="00F45FF9"/>
    <w:rsid w:val="00F4601C"/>
    <w:rsid w:val="00F53E79"/>
    <w:rsid w:val="00F55AA3"/>
    <w:rsid w:val="00F640F4"/>
    <w:rsid w:val="00F74B37"/>
    <w:rsid w:val="00F864FA"/>
    <w:rsid w:val="00F924E1"/>
    <w:rsid w:val="00F94D2D"/>
    <w:rsid w:val="00F960CD"/>
    <w:rsid w:val="00FA1395"/>
    <w:rsid w:val="00FA183C"/>
    <w:rsid w:val="00FC0973"/>
    <w:rsid w:val="00FC3007"/>
    <w:rsid w:val="00FC3962"/>
    <w:rsid w:val="00FD1868"/>
    <w:rsid w:val="00FD312A"/>
    <w:rsid w:val="00FD4DCB"/>
    <w:rsid w:val="00FE05A8"/>
    <w:rsid w:val="00FF24D6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6B33A"/>
  <w15:docId w15:val="{928F9CFA-6D5F-44A1-9222-FD1DBF7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41"/>
    <w:pPr>
      <w:ind w:left="720"/>
      <w:contextualSpacing/>
    </w:pPr>
  </w:style>
  <w:style w:type="paragraph" w:customStyle="1" w:styleId="Default">
    <w:name w:val="Default"/>
    <w:rsid w:val="00F0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4574A"/>
    <w:rPr>
      <w:color w:val="0000FF"/>
      <w:u w:val="single"/>
    </w:rPr>
  </w:style>
  <w:style w:type="paragraph" w:customStyle="1" w:styleId="ReportMainHeading">
    <w:name w:val="Report Main Heading"/>
    <w:basedOn w:val="Heading1"/>
    <w:next w:val="Normal"/>
    <w:link w:val="ReportMainHeadingChar"/>
    <w:qFormat/>
    <w:rsid w:val="00F960CD"/>
    <w:pPr>
      <w:spacing w:after="240" w:line="360" w:lineRule="auto"/>
    </w:pPr>
    <w:rPr>
      <w:rFonts w:ascii="Verdana" w:eastAsia="Calibri" w:hAnsi="Verdana" w:cs="Times New Roman"/>
      <w:color w:val="FFC000"/>
      <w:spacing w:val="5"/>
      <w:sz w:val="36"/>
      <w:lang w:val="x-none" w:eastAsia="x-none"/>
    </w:rPr>
  </w:style>
  <w:style w:type="character" w:customStyle="1" w:styleId="ReportMainHeadingChar">
    <w:name w:val="Report Main Heading Char"/>
    <w:link w:val="ReportMainHeading"/>
    <w:rsid w:val="00F960CD"/>
    <w:rPr>
      <w:rFonts w:ascii="Verdana" w:eastAsia="Calibri" w:hAnsi="Verdana" w:cs="Times New Roman"/>
      <w:b/>
      <w:bCs/>
      <w:color w:val="FFC000"/>
      <w:spacing w:val="5"/>
      <w:sz w:val="36"/>
      <w:szCs w:val="28"/>
      <w:lang w:val="x-none" w:eastAsia="x-none"/>
    </w:rPr>
  </w:style>
  <w:style w:type="character" w:customStyle="1" w:styleId="MediumGrid1-Accent2Char">
    <w:name w:val="Medium Grid 1 - Accent 2 Char"/>
    <w:basedOn w:val="DefaultParagraphFont"/>
    <w:link w:val="MediumGrid1-Accent2"/>
    <w:uiPriority w:val="34"/>
    <w:rsid w:val="00F960CD"/>
  </w:style>
  <w:style w:type="character" w:customStyle="1" w:styleId="ColorfulList-Accent1Char1">
    <w:name w:val="Colorful List - Accent 1 Char1"/>
    <w:link w:val="ColorfulList-Accent1"/>
    <w:uiPriority w:val="34"/>
    <w:locked/>
    <w:rsid w:val="00F960CD"/>
  </w:style>
  <w:style w:type="character" w:customStyle="1" w:styleId="Heading1Char">
    <w:name w:val="Heading 1 Char"/>
    <w:basedOn w:val="DefaultParagraphFont"/>
    <w:link w:val="Heading1"/>
    <w:uiPriority w:val="9"/>
    <w:rsid w:val="00F960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1-Accent2">
    <w:name w:val="Medium Grid 1 Accent 2"/>
    <w:basedOn w:val="TableNormal"/>
    <w:link w:val="MediumGrid1-Accent2Char"/>
    <w:uiPriority w:val="34"/>
    <w:rsid w:val="00F960C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List-Accent1">
    <w:name w:val="Colorful List Accent 1"/>
    <w:basedOn w:val="TableNormal"/>
    <w:link w:val="ColorfulList-Accent1Char1"/>
    <w:uiPriority w:val="34"/>
    <w:rsid w:val="00F960CD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olorfulList-Accent1Char">
    <w:name w:val="Colorful List - Accent 1 Char"/>
    <w:basedOn w:val="DefaultParagraphFont"/>
    <w:uiPriority w:val="34"/>
    <w:rsid w:val="003A0711"/>
  </w:style>
  <w:style w:type="paragraph" w:styleId="BalloonText">
    <w:name w:val="Balloon Text"/>
    <w:basedOn w:val="Normal"/>
    <w:link w:val="BalloonTextChar"/>
    <w:uiPriority w:val="99"/>
    <w:semiHidden/>
    <w:unhideWhenUsed/>
    <w:rsid w:val="003A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0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8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57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usq.pressbooks.pub/apa7/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Bown</dc:creator>
  <cp:lastModifiedBy>Linda Stanbury</cp:lastModifiedBy>
  <cp:revision>2</cp:revision>
  <cp:lastPrinted>2020-02-17T00:38:00Z</cp:lastPrinted>
  <dcterms:created xsi:type="dcterms:W3CDTF">2021-08-11T23:18:00Z</dcterms:created>
  <dcterms:modified xsi:type="dcterms:W3CDTF">2021-08-11T23:18:00Z</dcterms:modified>
</cp:coreProperties>
</file>