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7840"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2: What is globalization?</w:t>
      </w:r>
    </w:p>
    <w:p w14:paraId="34190FFC"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January 21</w:t>
      </w:r>
    </w:p>
    <w:p w14:paraId="4086FD21"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w:t>
      </w:r>
      <w:r w:rsidRPr="00667C62">
        <w:rPr>
          <w:rFonts w:ascii="Segoe UI" w:eastAsia="Times New Roman" w:hAnsi="Segoe UI" w:cs="Segoe UI"/>
          <w:color w:val="212529"/>
          <w:sz w:val="22"/>
          <w:szCs w:val="22"/>
        </w:rPr>
        <w:t xml:space="preserve"> Globalization is a word that is often used in academia and the public discourse. Everyone seems to know what it </w:t>
      </w:r>
      <w:proofErr w:type="gramStart"/>
      <w:r w:rsidRPr="00667C62">
        <w:rPr>
          <w:rFonts w:ascii="Segoe UI" w:eastAsia="Times New Roman" w:hAnsi="Segoe UI" w:cs="Segoe UI"/>
          <w:color w:val="212529"/>
          <w:sz w:val="22"/>
          <w:szCs w:val="22"/>
        </w:rPr>
        <w:t>means</w:t>
      </w:r>
      <w:proofErr w:type="gramEnd"/>
      <w:r w:rsidRPr="00667C62">
        <w:rPr>
          <w:rFonts w:ascii="Segoe UI" w:eastAsia="Times New Roman" w:hAnsi="Segoe UI" w:cs="Segoe UI"/>
          <w:color w:val="212529"/>
          <w:sz w:val="22"/>
          <w:szCs w:val="22"/>
        </w:rPr>
        <w:t xml:space="preserve"> and it is seldom defined. However, there are different definitions of globalization and it has different aspects (economic, political, cultural), there is disagreement when globalization started and how to study it. </w:t>
      </w:r>
      <w:proofErr w:type="gramStart"/>
      <w:r w:rsidRPr="00667C62">
        <w:rPr>
          <w:rFonts w:ascii="Segoe UI" w:eastAsia="Times New Roman" w:hAnsi="Segoe UI" w:cs="Segoe UI"/>
          <w:color w:val="212529"/>
          <w:sz w:val="22"/>
          <w:szCs w:val="22"/>
        </w:rPr>
        <w:t>This sessions</w:t>
      </w:r>
      <w:proofErr w:type="gramEnd"/>
      <w:r w:rsidRPr="00667C62">
        <w:rPr>
          <w:rFonts w:ascii="Segoe UI" w:eastAsia="Times New Roman" w:hAnsi="Segoe UI" w:cs="Segoe UI"/>
          <w:color w:val="212529"/>
          <w:sz w:val="22"/>
          <w:szCs w:val="22"/>
        </w:rPr>
        <w:t xml:space="preserve"> serves as an introduction into globalization and as an exchange about our prior knowledge about globalization.</w:t>
      </w:r>
    </w:p>
    <w:p w14:paraId="15A9B8E0"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Guiding Questions:</w:t>
      </w:r>
      <w:r w:rsidRPr="00667C62">
        <w:rPr>
          <w:rFonts w:ascii="Segoe UI" w:eastAsia="Times New Roman" w:hAnsi="Segoe UI" w:cs="Segoe UI"/>
          <w:color w:val="212529"/>
          <w:sz w:val="22"/>
          <w:szCs w:val="22"/>
        </w:rPr>
        <w:t xml:space="preserve"> How is globalization defined and which definition is most suitable for our course? How did economic globalization develop over time? What </w:t>
      </w:r>
      <w:proofErr w:type="gramStart"/>
      <w:r w:rsidRPr="00667C62">
        <w:rPr>
          <w:rFonts w:ascii="Segoe UI" w:eastAsia="Times New Roman" w:hAnsi="Segoe UI" w:cs="Segoe UI"/>
          <w:color w:val="212529"/>
          <w:sz w:val="22"/>
          <w:szCs w:val="22"/>
        </w:rPr>
        <w:t>are</w:t>
      </w:r>
      <w:proofErr w:type="gramEnd"/>
      <w:r w:rsidRPr="00667C62">
        <w:rPr>
          <w:rFonts w:ascii="Segoe UI" w:eastAsia="Times New Roman" w:hAnsi="Segoe UI" w:cs="Segoe UI"/>
          <w:color w:val="212529"/>
          <w:sz w:val="22"/>
          <w:szCs w:val="22"/>
        </w:rPr>
        <w:t xml:space="preserve"> the parameter of the globalization debate? What does it mean to study globalization from a critical perspective?</w:t>
      </w:r>
    </w:p>
    <w:p w14:paraId="2B2633B5"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Literature/Media</w:t>
      </w:r>
      <w:r w:rsidRPr="00667C62">
        <w:rPr>
          <w:rFonts w:ascii="Segoe UI" w:eastAsia="Times New Roman" w:hAnsi="Segoe UI" w:cs="Segoe UI"/>
          <w:color w:val="212529"/>
          <w:sz w:val="22"/>
          <w:szCs w:val="22"/>
        </w:rPr>
        <w:t>:</w:t>
      </w:r>
    </w:p>
    <w:p w14:paraId="739A616C"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Jones, Andrew. “Introduction: Thinking about Globalization.” In </w:t>
      </w:r>
      <w:r w:rsidRPr="00667C62">
        <w:rPr>
          <w:rFonts w:ascii="Segoe UI" w:eastAsia="Times New Roman" w:hAnsi="Segoe UI" w:cs="Segoe UI"/>
          <w:i/>
          <w:iCs/>
          <w:color w:val="212529"/>
          <w:sz w:val="22"/>
          <w:szCs w:val="22"/>
        </w:rPr>
        <w:t>Globalization: Key Thinkers</w:t>
      </w:r>
      <w:r w:rsidRPr="00667C62">
        <w:rPr>
          <w:rFonts w:ascii="Segoe UI" w:eastAsia="Times New Roman" w:hAnsi="Segoe UI" w:cs="Segoe UI"/>
          <w:color w:val="212529"/>
          <w:sz w:val="22"/>
          <w:szCs w:val="22"/>
        </w:rPr>
        <w:t>, edited by Andrew Jones, 1–18. Cambridge, UK; Malden, Mass.: Polity, 2010.</w:t>
      </w:r>
    </w:p>
    <w:p w14:paraId="04984EB2"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Steger, Manfred B. 2020. </w:t>
      </w:r>
      <w:r w:rsidRPr="00667C62">
        <w:rPr>
          <w:rFonts w:ascii="Segoe UI" w:eastAsia="Times New Roman" w:hAnsi="Segoe UI" w:cs="Segoe UI"/>
          <w:i/>
          <w:iCs/>
          <w:color w:val="212529"/>
          <w:sz w:val="22"/>
          <w:szCs w:val="22"/>
        </w:rPr>
        <w:t>Globalization</w:t>
      </w:r>
      <w:r w:rsidRPr="00667C62">
        <w:rPr>
          <w:rFonts w:ascii="Segoe UI" w:eastAsia="Times New Roman" w:hAnsi="Segoe UI" w:cs="Segoe UI"/>
          <w:color w:val="212529"/>
          <w:sz w:val="22"/>
          <w:szCs w:val="22"/>
        </w:rPr>
        <w:t>. 5th ed., 59-79. New York: Oxford University Press.</w:t>
      </w:r>
    </w:p>
    <w:p w14:paraId="620FA9DA"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Brown, Sydney. </w:t>
      </w:r>
      <w:r w:rsidRPr="00667C62">
        <w:rPr>
          <w:rFonts w:ascii="Segoe UI" w:eastAsia="Times New Roman" w:hAnsi="Segoe UI" w:cs="Segoe UI"/>
          <w:i/>
          <w:iCs/>
          <w:color w:val="212529"/>
          <w:sz w:val="22"/>
          <w:szCs w:val="22"/>
        </w:rPr>
        <w:t>Globalization Theories</w:t>
      </w:r>
      <w:r w:rsidRPr="00667C62">
        <w:rPr>
          <w:rFonts w:ascii="Segoe UI" w:eastAsia="Times New Roman" w:hAnsi="Segoe UI" w:cs="Segoe UI"/>
          <w:color w:val="212529"/>
          <w:sz w:val="22"/>
          <w:szCs w:val="22"/>
        </w:rPr>
        <w:t>. Video. Accessed February 27, 2019. </w:t>
      </w:r>
      <w:hyperlink r:id="rId4" w:history="1">
        <w:r w:rsidRPr="00667C62">
          <w:rPr>
            <w:rFonts w:ascii="Segoe UI" w:eastAsia="Times New Roman" w:hAnsi="Segoe UI" w:cs="Segoe UI"/>
            <w:color w:val="CC2030"/>
            <w:sz w:val="22"/>
            <w:szCs w:val="22"/>
            <w:u w:val="single"/>
          </w:rPr>
          <w:t>https://www.khanacademy.org/test-prep/mcat/society-and-culture/demographics/v/globalization-theories</w:t>
        </w:r>
      </w:hyperlink>
      <w:r w:rsidRPr="00667C62">
        <w:rPr>
          <w:rFonts w:ascii="Segoe UI" w:eastAsia="Times New Roman" w:hAnsi="Segoe UI" w:cs="Segoe UI"/>
          <w:color w:val="212529"/>
          <w:sz w:val="22"/>
          <w:szCs w:val="22"/>
        </w:rPr>
        <w:t>.</w:t>
      </w:r>
    </w:p>
    <w:p w14:paraId="0DF3E9F6"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George, Susan. “If You Want to Be Relevant: Advice to the Academic from a Scholar-Activist.” In </w:t>
      </w:r>
      <w:r w:rsidRPr="00667C62">
        <w:rPr>
          <w:rFonts w:ascii="Segoe UI" w:eastAsia="Times New Roman" w:hAnsi="Segoe UI" w:cs="Segoe UI"/>
          <w:i/>
          <w:iCs/>
          <w:color w:val="212529"/>
          <w:sz w:val="22"/>
          <w:szCs w:val="22"/>
        </w:rPr>
        <w:t>Critical Globalization Studies</w:t>
      </w:r>
      <w:r w:rsidRPr="00667C62">
        <w:rPr>
          <w:rFonts w:ascii="Segoe UI" w:eastAsia="Times New Roman" w:hAnsi="Segoe UI" w:cs="Segoe UI"/>
          <w:color w:val="212529"/>
          <w:sz w:val="22"/>
          <w:szCs w:val="22"/>
        </w:rPr>
        <w:t>, edited by Richard P. Appelbaum and William I. Robinson, 3–9. New York: Routledge, 2005.</w:t>
      </w:r>
    </w:p>
    <w:p w14:paraId="61634D12"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3: Managing the global economy: The World Trade Organization and its critics</w:t>
      </w:r>
    </w:p>
    <w:p w14:paraId="3990890D"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January 28</w:t>
      </w:r>
    </w:p>
    <w:p w14:paraId="78E68592"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w:t>
      </w:r>
      <w:r w:rsidRPr="00667C62">
        <w:rPr>
          <w:rFonts w:ascii="Segoe UI" w:eastAsia="Times New Roman" w:hAnsi="Segoe UI" w:cs="Segoe UI"/>
          <w:color w:val="212529"/>
          <w:sz w:val="22"/>
          <w:szCs w:val="22"/>
        </w:rPr>
        <w:t xml:space="preserve"> The World Trade Organization (WTO) is a controversial organization that promotes free trade in the world that was envisioned after World War II but only established in 1994. Due to the Trump administration’s blockade of internal elections of positions, it is currently not functional. How did the WTO </w:t>
      </w:r>
      <w:proofErr w:type="gramStart"/>
      <w:r w:rsidRPr="00667C62">
        <w:rPr>
          <w:rFonts w:ascii="Segoe UI" w:eastAsia="Times New Roman" w:hAnsi="Segoe UI" w:cs="Segoe UI"/>
          <w:color w:val="212529"/>
          <w:sz w:val="22"/>
          <w:szCs w:val="22"/>
        </w:rPr>
        <w:t>develop</w:t>
      </w:r>
      <w:proofErr w:type="gramEnd"/>
      <w:r w:rsidRPr="00667C62">
        <w:rPr>
          <w:rFonts w:ascii="Segoe UI" w:eastAsia="Times New Roman" w:hAnsi="Segoe UI" w:cs="Segoe UI"/>
          <w:color w:val="212529"/>
          <w:sz w:val="22"/>
          <w:szCs w:val="22"/>
        </w:rPr>
        <w:t xml:space="preserve"> and which impact does it have on the global economy?</w:t>
      </w:r>
    </w:p>
    <w:p w14:paraId="3E9F27AD"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The WTO (and other organizations such as the International Monetary Fund (IMF) and the World Bank) have been criticized for being instruments through which the hegemony of the system of global capitalism is maintained. These institutions, so the critic from the Global South, serve the promotion of the primacy of the states and economic interests that mainly benefit from global capitalism. While looking into how Bello justifies this claim, we can get an insight into the power dynamics between the Global North and the Global South.</w:t>
      </w:r>
    </w:p>
    <w:p w14:paraId="7AC1F894"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lastRenderedPageBreak/>
        <w:t>Literature/Media:</w:t>
      </w:r>
    </w:p>
    <w:p w14:paraId="7E6A32B5"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Baldwin, Richard. “The World Trade Organization and the Future of Multilateralism.” </w:t>
      </w:r>
      <w:r w:rsidRPr="00667C62">
        <w:rPr>
          <w:rFonts w:ascii="Segoe UI" w:eastAsia="Times New Roman" w:hAnsi="Segoe UI" w:cs="Segoe UI"/>
          <w:i/>
          <w:iCs/>
          <w:color w:val="212529"/>
          <w:sz w:val="22"/>
          <w:szCs w:val="22"/>
        </w:rPr>
        <w:t>Journal of Economic Perspectives</w:t>
      </w:r>
      <w:r w:rsidRPr="00667C62">
        <w:rPr>
          <w:rFonts w:ascii="Segoe UI" w:eastAsia="Times New Roman" w:hAnsi="Segoe UI" w:cs="Segoe UI"/>
          <w:color w:val="212529"/>
          <w:sz w:val="22"/>
          <w:szCs w:val="22"/>
        </w:rPr>
        <w:t> 30, no. 1 (February 1, 2016): 95–116.</w:t>
      </w:r>
      <w:hyperlink r:id="rId5" w:history="1">
        <w:r w:rsidRPr="00667C62">
          <w:rPr>
            <w:rFonts w:ascii="Segoe UI" w:eastAsia="Times New Roman" w:hAnsi="Segoe UI" w:cs="Segoe UI"/>
            <w:color w:val="CC2030"/>
            <w:sz w:val="22"/>
            <w:szCs w:val="22"/>
            <w:u w:val="single"/>
          </w:rPr>
          <w:t>https://doi.org/10.1257/jep.30.1.95</w:t>
        </w:r>
      </w:hyperlink>
      <w:r w:rsidRPr="00667C62">
        <w:rPr>
          <w:rFonts w:ascii="Segoe UI" w:eastAsia="Times New Roman" w:hAnsi="Segoe UI" w:cs="Segoe UI"/>
          <w:color w:val="212529"/>
          <w:sz w:val="22"/>
          <w:szCs w:val="22"/>
        </w:rPr>
        <w:t>.</w:t>
      </w:r>
    </w:p>
    <w:p w14:paraId="4B284E27" w14:textId="77777777" w:rsidR="00667C62" w:rsidRPr="00667C62" w:rsidRDefault="00667C62" w:rsidP="00667C62">
      <w:pPr>
        <w:spacing w:after="100" w:afterAutospacing="1"/>
        <w:rPr>
          <w:rFonts w:ascii="Segoe UI" w:eastAsia="Times New Roman" w:hAnsi="Segoe UI" w:cs="Segoe UI"/>
          <w:color w:val="212529"/>
          <w:sz w:val="22"/>
          <w:szCs w:val="22"/>
        </w:rPr>
      </w:pPr>
    </w:p>
    <w:p w14:paraId="644B0682"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Bello, Walden. </w:t>
      </w:r>
      <w:r w:rsidRPr="00667C62">
        <w:rPr>
          <w:rFonts w:ascii="Segoe UI" w:eastAsia="Times New Roman" w:hAnsi="Segoe UI" w:cs="Segoe UI"/>
          <w:i/>
          <w:iCs/>
          <w:color w:val="212529"/>
          <w:sz w:val="22"/>
          <w:szCs w:val="22"/>
        </w:rPr>
        <w:t>Deglobalization: Ideas for a New World Economy.</w:t>
      </w:r>
      <w:r w:rsidRPr="00667C62">
        <w:rPr>
          <w:rFonts w:ascii="Segoe UI" w:eastAsia="Times New Roman" w:hAnsi="Segoe UI" w:cs="Segoe UI"/>
          <w:color w:val="212529"/>
          <w:sz w:val="22"/>
          <w:szCs w:val="22"/>
        </w:rPr>
        <w:t> Chaps. 3 and 4. London: Zed Books, 2004.</w:t>
      </w:r>
    </w:p>
    <w:p w14:paraId="2D4588FD"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4: </w:t>
      </w:r>
      <w:r w:rsidRPr="00667C62">
        <w:rPr>
          <w:rFonts w:ascii="Segoe UI" w:eastAsia="Times New Roman" w:hAnsi="Segoe UI" w:cs="Segoe UI"/>
          <w:b/>
          <w:bCs/>
          <w:i/>
          <w:iCs/>
          <w:color w:val="212529"/>
        </w:rPr>
        <w:t>The European Union and regionalization: Aspects of European economic and political integration </w:t>
      </w:r>
    </w:p>
    <w:p w14:paraId="5FA50AA1"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February 4</w:t>
      </w:r>
    </w:p>
    <w:p w14:paraId="5995AF95"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 </w:t>
      </w:r>
      <w:r w:rsidRPr="00667C62">
        <w:rPr>
          <w:rFonts w:ascii="Segoe UI" w:eastAsia="Times New Roman" w:hAnsi="Segoe UI" w:cs="Segoe UI"/>
          <w:color w:val="212529"/>
          <w:sz w:val="22"/>
          <w:szCs w:val="22"/>
        </w:rPr>
        <w:t>The European Union is a highly integrated political and economic union. We will look into how global capitalism fosters Europe’s economic integration. How do political and economic integration go hand in hand? We will discuss different developments within the EU in terms of differentiated economic integration.</w:t>
      </w:r>
    </w:p>
    <w:p w14:paraId="5E7DD2F3"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w:t>
      </w:r>
    </w:p>
    <w:p w14:paraId="1C129CBB" w14:textId="77777777" w:rsidR="00667C62" w:rsidRPr="00667C62" w:rsidRDefault="00667C62" w:rsidP="00667C62">
      <w:pPr>
        <w:spacing w:after="100" w:afterAutospacing="1"/>
        <w:rPr>
          <w:rFonts w:ascii="Segoe UI" w:eastAsia="Times New Roman" w:hAnsi="Segoe UI" w:cs="Segoe UI"/>
          <w:color w:val="212529"/>
          <w:sz w:val="22"/>
          <w:szCs w:val="22"/>
        </w:rPr>
      </w:pPr>
      <w:proofErr w:type="spellStart"/>
      <w:r w:rsidRPr="00667C62">
        <w:rPr>
          <w:rFonts w:ascii="Segoe UI" w:eastAsia="Times New Roman" w:hAnsi="Segoe UI" w:cs="Segoe UI"/>
          <w:color w:val="212529"/>
          <w:sz w:val="22"/>
          <w:szCs w:val="22"/>
        </w:rPr>
        <w:t>Ryner</w:t>
      </w:r>
      <w:proofErr w:type="spellEnd"/>
      <w:r w:rsidRPr="00667C62">
        <w:rPr>
          <w:rFonts w:ascii="Segoe UI" w:eastAsia="Times New Roman" w:hAnsi="Segoe UI" w:cs="Segoe UI"/>
          <w:color w:val="212529"/>
          <w:sz w:val="22"/>
          <w:szCs w:val="22"/>
        </w:rPr>
        <w:t xml:space="preserve">, Magnus, and Alan W. </w:t>
      </w:r>
      <w:proofErr w:type="spellStart"/>
      <w:r w:rsidRPr="00667C62">
        <w:rPr>
          <w:rFonts w:ascii="Segoe UI" w:eastAsia="Times New Roman" w:hAnsi="Segoe UI" w:cs="Segoe UI"/>
          <w:color w:val="212529"/>
          <w:sz w:val="22"/>
          <w:szCs w:val="22"/>
        </w:rPr>
        <w:t>Cafruny</w:t>
      </w:r>
      <w:proofErr w:type="spellEnd"/>
      <w:r w:rsidRPr="00667C62">
        <w:rPr>
          <w:rFonts w:ascii="Segoe UI" w:eastAsia="Times New Roman" w:hAnsi="Segoe UI" w:cs="Segoe UI"/>
          <w:color w:val="212529"/>
          <w:sz w:val="22"/>
          <w:szCs w:val="22"/>
        </w:rPr>
        <w:t>. </w:t>
      </w:r>
      <w:r w:rsidRPr="00667C62">
        <w:rPr>
          <w:rFonts w:ascii="Segoe UI" w:eastAsia="Times New Roman" w:hAnsi="Segoe UI" w:cs="Segoe UI"/>
          <w:i/>
          <w:iCs/>
          <w:color w:val="212529"/>
          <w:sz w:val="22"/>
          <w:szCs w:val="22"/>
        </w:rPr>
        <w:t>The European Union and Global Capitalism: Origins, Development, Crisis</w:t>
      </w:r>
      <w:r w:rsidRPr="00667C62">
        <w:rPr>
          <w:rFonts w:ascii="Segoe UI" w:eastAsia="Times New Roman" w:hAnsi="Segoe UI" w:cs="Segoe UI"/>
          <w:color w:val="212529"/>
          <w:sz w:val="22"/>
          <w:szCs w:val="22"/>
        </w:rPr>
        <w:t>. The European Union Series. Chaps. 3 and 6. London: Macmillan Education, Palgrave, 2017.</w:t>
      </w:r>
    </w:p>
    <w:p w14:paraId="11136D5B"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 xml:space="preserve">Alternative: Apeldoorn, </w:t>
      </w:r>
      <w:proofErr w:type="spellStart"/>
      <w:r w:rsidRPr="00667C62">
        <w:rPr>
          <w:rFonts w:ascii="Segoe UI" w:eastAsia="Times New Roman" w:hAnsi="Segoe UI" w:cs="Segoe UI"/>
          <w:color w:val="212529"/>
          <w:sz w:val="22"/>
          <w:szCs w:val="22"/>
        </w:rPr>
        <w:t>Bastiaan</w:t>
      </w:r>
      <w:proofErr w:type="spellEnd"/>
      <w:r w:rsidRPr="00667C62">
        <w:rPr>
          <w:rFonts w:ascii="Segoe UI" w:eastAsia="Times New Roman" w:hAnsi="Segoe UI" w:cs="Segoe UI"/>
          <w:color w:val="212529"/>
          <w:sz w:val="22"/>
          <w:szCs w:val="22"/>
        </w:rPr>
        <w:t xml:space="preserve"> van, Jan </w:t>
      </w:r>
      <w:proofErr w:type="spellStart"/>
      <w:r w:rsidRPr="00667C62">
        <w:rPr>
          <w:rFonts w:ascii="Segoe UI" w:eastAsia="Times New Roman" w:hAnsi="Segoe UI" w:cs="Segoe UI"/>
          <w:color w:val="212529"/>
          <w:sz w:val="22"/>
          <w:szCs w:val="22"/>
        </w:rPr>
        <w:t>Drahokoupil</w:t>
      </w:r>
      <w:proofErr w:type="spellEnd"/>
      <w:r w:rsidRPr="00667C62">
        <w:rPr>
          <w:rFonts w:ascii="Segoe UI" w:eastAsia="Times New Roman" w:hAnsi="Segoe UI" w:cs="Segoe UI"/>
          <w:color w:val="212529"/>
          <w:sz w:val="22"/>
          <w:szCs w:val="22"/>
        </w:rPr>
        <w:t>, and Laura Horn, eds. </w:t>
      </w:r>
      <w:r w:rsidRPr="00667C62">
        <w:rPr>
          <w:rFonts w:ascii="Segoe UI" w:eastAsia="Times New Roman" w:hAnsi="Segoe UI" w:cs="Segoe UI"/>
          <w:i/>
          <w:iCs/>
          <w:color w:val="212529"/>
          <w:sz w:val="22"/>
          <w:szCs w:val="22"/>
        </w:rPr>
        <w:t>Contradictions and Limits of Neoliberal European Governance</w:t>
      </w:r>
      <w:r w:rsidRPr="00667C62">
        <w:rPr>
          <w:rFonts w:ascii="Segoe UI" w:eastAsia="Times New Roman" w:hAnsi="Segoe UI" w:cs="Segoe UI"/>
          <w:color w:val="212529"/>
          <w:sz w:val="22"/>
          <w:szCs w:val="22"/>
        </w:rPr>
        <w:t>. London: Palgrave Macmillan, 2009.</w:t>
      </w:r>
    </w:p>
    <w:p w14:paraId="3156F11C" w14:textId="77777777" w:rsidR="00667C62" w:rsidRPr="00667C62" w:rsidRDefault="00667C62" w:rsidP="00667C62">
      <w:pPr>
        <w:spacing w:after="100" w:afterAutospacing="1"/>
        <w:rPr>
          <w:rFonts w:ascii="Segoe UI" w:eastAsia="Times New Roman" w:hAnsi="Segoe UI" w:cs="Segoe UI"/>
          <w:color w:val="212529"/>
          <w:sz w:val="22"/>
          <w:szCs w:val="22"/>
        </w:rPr>
      </w:pPr>
    </w:p>
    <w:p w14:paraId="6F6C89B9"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5: </w:t>
      </w:r>
      <w:r w:rsidRPr="00667C62">
        <w:rPr>
          <w:rFonts w:ascii="Segoe UI" w:eastAsia="Times New Roman" w:hAnsi="Segoe UI" w:cs="Segoe UI"/>
          <w:b/>
          <w:bCs/>
          <w:i/>
          <w:iCs/>
          <w:color w:val="212529"/>
        </w:rPr>
        <w:t>Group Work Session I</w:t>
      </w:r>
    </w:p>
    <w:p w14:paraId="31EC7425"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Feb 11</w:t>
      </w:r>
    </w:p>
    <w:p w14:paraId="573085AF"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w:t>
      </w:r>
      <w:r w:rsidRPr="00667C62">
        <w:rPr>
          <w:rFonts w:ascii="Segoe UI" w:eastAsia="Times New Roman" w:hAnsi="Segoe UI" w:cs="Segoe UI"/>
          <w:color w:val="212529"/>
          <w:sz w:val="22"/>
          <w:szCs w:val="22"/>
        </w:rPr>
        <w:t> At least two groups will present their </w:t>
      </w:r>
      <w:hyperlink r:id="rId6" w:tooltip="Group Work" w:history="1">
        <w:r w:rsidRPr="00667C62">
          <w:rPr>
            <w:rFonts w:ascii="Segoe UI" w:eastAsia="Times New Roman" w:hAnsi="Segoe UI" w:cs="Segoe UI"/>
            <w:color w:val="CC2030"/>
            <w:sz w:val="22"/>
            <w:szCs w:val="22"/>
            <w:u w:val="single"/>
          </w:rPr>
          <w:t>group work</w:t>
        </w:r>
      </w:hyperlink>
      <w:r w:rsidRPr="00667C62">
        <w:rPr>
          <w:rFonts w:ascii="Segoe UI" w:eastAsia="Times New Roman" w:hAnsi="Segoe UI" w:cs="Segoe UI"/>
          <w:color w:val="212529"/>
          <w:sz w:val="22"/>
          <w:szCs w:val="22"/>
        </w:rPr>
        <w:t> outcome.</w:t>
      </w:r>
    </w:p>
    <w:p w14:paraId="7B856708"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 </w:t>
      </w:r>
      <w:r w:rsidRPr="00667C62">
        <w:rPr>
          <w:rFonts w:ascii="Segoe UI" w:eastAsia="Times New Roman" w:hAnsi="Segoe UI" w:cs="Segoe UI"/>
          <w:color w:val="212529"/>
          <w:sz w:val="22"/>
          <w:szCs w:val="22"/>
        </w:rPr>
        <w:t>Each group will assign a reading of about 10pp.</w:t>
      </w:r>
    </w:p>
    <w:p w14:paraId="47CEA3A7"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READING WEEK: </w:t>
      </w:r>
      <w:r w:rsidRPr="00667C62">
        <w:rPr>
          <w:rFonts w:ascii="Segoe UI" w:eastAsia="Times New Roman" w:hAnsi="Segoe UI" w:cs="Segoe UI"/>
          <w:b/>
          <w:bCs/>
          <w:i/>
          <w:iCs/>
          <w:color w:val="212529"/>
        </w:rPr>
        <w:t>February</w:t>
      </w:r>
      <w:r w:rsidRPr="00667C62">
        <w:rPr>
          <w:rFonts w:ascii="Segoe UI" w:eastAsia="Times New Roman" w:hAnsi="Segoe UI" w:cs="Segoe UI"/>
          <w:color w:val="212529"/>
        </w:rPr>
        <w:t> 15 - 19</w:t>
      </w:r>
    </w:p>
    <w:p w14:paraId="5D692059"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Week 7: No class</w:t>
      </w:r>
    </w:p>
    <w:p w14:paraId="250AD8A4"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February 25</w:t>
      </w:r>
    </w:p>
    <w:p w14:paraId="2C25CB0B"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lastRenderedPageBreak/>
        <w:t>I’m participating in a conference this week, which was scheduled last summer but postponed due to COVID-19. Please use the time to work on your first assignment and the </w:t>
      </w:r>
      <w:hyperlink r:id="rId7" w:tooltip="Group Work" w:history="1">
        <w:r w:rsidRPr="00667C62">
          <w:rPr>
            <w:rFonts w:ascii="Segoe UI" w:eastAsia="Times New Roman" w:hAnsi="Segoe UI" w:cs="Segoe UI"/>
            <w:color w:val="CC2030"/>
            <w:sz w:val="22"/>
            <w:szCs w:val="22"/>
            <w:u w:val="single"/>
          </w:rPr>
          <w:t>group work</w:t>
        </w:r>
      </w:hyperlink>
      <w:r w:rsidRPr="00667C62">
        <w:rPr>
          <w:rFonts w:ascii="Segoe UI" w:eastAsia="Times New Roman" w:hAnsi="Segoe UI" w:cs="Segoe UI"/>
          <w:color w:val="212529"/>
          <w:sz w:val="22"/>
          <w:szCs w:val="22"/>
        </w:rPr>
        <w:t>.</w:t>
      </w:r>
    </w:p>
    <w:p w14:paraId="40EB3911"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6: </w:t>
      </w:r>
      <w:r w:rsidRPr="00667C62">
        <w:rPr>
          <w:rFonts w:ascii="Segoe UI" w:eastAsia="Times New Roman" w:hAnsi="Segoe UI" w:cs="Segoe UI"/>
          <w:b/>
          <w:bCs/>
          <w:i/>
          <w:iCs/>
          <w:color w:val="212529"/>
        </w:rPr>
        <w:t>The negotiations of Africa – EU trade relations</w:t>
      </w:r>
    </w:p>
    <w:p w14:paraId="1AF91360"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March 4</w:t>
      </w:r>
    </w:p>
    <w:p w14:paraId="60690751"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 </w:t>
      </w:r>
      <w:r w:rsidRPr="00667C62">
        <w:rPr>
          <w:rFonts w:ascii="Segoe UI" w:eastAsia="Times New Roman" w:hAnsi="Segoe UI" w:cs="Segoe UI"/>
          <w:color w:val="212529"/>
          <w:sz w:val="22"/>
          <w:szCs w:val="22"/>
        </w:rPr>
        <w:t xml:space="preserve">The European Union is currently negotiating with African states about new trade relations. Due to the colonial past, the relationship is complicated to say at least. Past agreements (the </w:t>
      </w:r>
      <w:proofErr w:type="spellStart"/>
      <w:r w:rsidRPr="00667C62">
        <w:rPr>
          <w:rFonts w:ascii="Segoe UI" w:eastAsia="Times New Roman" w:hAnsi="Segoe UI" w:cs="Segoe UI"/>
          <w:color w:val="212529"/>
          <w:sz w:val="22"/>
          <w:szCs w:val="22"/>
        </w:rPr>
        <w:t>Lome</w:t>
      </w:r>
      <w:proofErr w:type="spellEnd"/>
      <w:r w:rsidRPr="00667C62">
        <w:rPr>
          <w:rFonts w:ascii="Segoe UI" w:eastAsia="Times New Roman" w:hAnsi="Segoe UI" w:cs="Segoe UI"/>
          <w:color w:val="212529"/>
          <w:sz w:val="22"/>
          <w:szCs w:val="22"/>
        </w:rPr>
        <w:t xml:space="preserve"> and COTONU agreements) provide former colonies with a preferential access to the European market. However, they were also criticized for a neo-colonial character and for continuing a subordination of African countries to European priorities and exploitation of African resources. Among the bones of contention is the inclusion of political conditionality in trade agreements, which means that African countries have to implement human rights and democratic reforms. Will the negotiations bring any changes? What is the character of the negotiation? Who pursues which interests? In this session we want to simulate the debate between the EU and the African negotiators. Students will take different positions on the negotiating table, which they have to prepare in advance. The academic reading provides a theoretical insight into Africa-EU relations from a postcolonial perspective.</w:t>
      </w:r>
    </w:p>
    <w:p w14:paraId="384A862B"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Literature/Media:</w:t>
      </w:r>
    </w:p>
    <w:p w14:paraId="1E09EE00"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 xml:space="preserve">Deutsche </w:t>
      </w:r>
      <w:proofErr w:type="spellStart"/>
      <w:r w:rsidRPr="00667C62">
        <w:rPr>
          <w:rFonts w:ascii="Segoe UI" w:eastAsia="Times New Roman" w:hAnsi="Segoe UI" w:cs="Segoe UI"/>
          <w:color w:val="212529"/>
          <w:sz w:val="22"/>
          <w:szCs w:val="22"/>
        </w:rPr>
        <w:t>Welle</w:t>
      </w:r>
      <w:proofErr w:type="spellEnd"/>
      <w:r w:rsidRPr="00667C62">
        <w:rPr>
          <w:rFonts w:ascii="Segoe UI" w:eastAsia="Times New Roman" w:hAnsi="Segoe UI" w:cs="Segoe UI"/>
          <w:color w:val="212529"/>
          <w:sz w:val="22"/>
          <w:szCs w:val="22"/>
        </w:rPr>
        <w:t>, Deutsche. “Are Negotiations for a New Cotonou Agreement at the Finish Line?” DW.COM, July 27, 2020. </w:t>
      </w:r>
      <w:hyperlink r:id="rId8" w:history="1">
        <w:r w:rsidRPr="00667C62">
          <w:rPr>
            <w:rFonts w:ascii="Segoe UI" w:eastAsia="Times New Roman" w:hAnsi="Segoe UI" w:cs="Segoe UI"/>
            <w:color w:val="CC2030"/>
            <w:sz w:val="22"/>
            <w:szCs w:val="22"/>
            <w:u w:val="single"/>
          </w:rPr>
          <w:t>https://www.dw.com/en/are-negotiations-for-a-new-cotonou-agreement-at-the-finish-line/a-54327841</w:t>
        </w:r>
      </w:hyperlink>
      <w:r w:rsidRPr="00667C62">
        <w:rPr>
          <w:rFonts w:ascii="Segoe UI" w:eastAsia="Times New Roman" w:hAnsi="Segoe UI" w:cs="Segoe UI"/>
          <w:color w:val="212529"/>
          <w:sz w:val="22"/>
          <w:szCs w:val="22"/>
        </w:rPr>
        <w:t>.</w:t>
      </w:r>
    </w:p>
    <w:p w14:paraId="7DFC2953" w14:textId="77777777" w:rsidR="00667C62" w:rsidRPr="00667C62" w:rsidRDefault="00667C62" w:rsidP="00667C62">
      <w:pPr>
        <w:spacing w:after="100" w:afterAutospacing="1"/>
        <w:rPr>
          <w:rFonts w:ascii="Segoe UI" w:eastAsia="Times New Roman" w:hAnsi="Segoe UI" w:cs="Segoe UI"/>
          <w:color w:val="212529"/>
          <w:sz w:val="22"/>
          <w:szCs w:val="22"/>
        </w:rPr>
      </w:pPr>
    </w:p>
    <w:p w14:paraId="4DCA3F40"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Fox, Benjamin. “Tensions Simmer over EU-Africa Trade Relations.” </w:t>
      </w:r>
      <w:hyperlink r:id="rId9" w:history="1">
        <w:r w:rsidRPr="00667C62">
          <w:rPr>
            <w:rFonts w:ascii="Segoe UI" w:eastAsia="Times New Roman" w:hAnsi="Segoe UI" w:cs="Segoe UI"/>
            <w:i/>
            <w:iCs/>
            <w:color w:val="CC2030"/>
            <w:sz w:val="22"/>
            <w:szCs w:val="22"/>
            <w:u w:val="single"/>
          </w:rPr>
          <w:t>Www.Euractiv.Com</w:t>
        </w:r>
      </w:hyperlink>
      <w:r w:rsidRPr="00667C62">
        <w:rPr>
          <w:rFonts w:ascii="Segoe UI" w:eastAsia="Times New Roman" w:hAnsi="Segoe UI" w:cs="Segoe UI"/>
          <w:color w:val="212529"/>
          <w:sz w:val="22"/>
          <w:szCs w:val="22"/>
        </w:rPr>
        <w:t> (blog), November 16, 2020.</w:t>
      </w:r>
      <w:hyperlink r:id="rId10" w:history="1">
        <w:r w:rsidRPr="00667C62">
          <w:rPr>
            <w:rFonts w:ascii="Segoe UI" w:eastAsia="Times New Roman" w:hAnsi="Segoe UI" w:cs="Segoe UI"/>
            <w:color w:val="CC2030"/>
            <w:sz w:val="22"/>
            <w:szCs w:val="22"/>
            <w:u w:val="single"/>
          </w:rPr>
          <w:t>https://www.euractiv.com/section/botswana/news/tensions-simmer-over-eu-africa-trade-relations/</w:t>
        </w:r>
      </w:hyperlink>
      <w:r w:rsidRPr="00667C62">
        <w:rPr>
          <w:rFonts w:ascii="Segoe UI" w:eastAsia="Times New Roman" w:hAnsi="Segoe UI" w:cs="Segoe UI"/>
          <w:color w:val="212529"/>
          <w:sz w:val="22"/>
          <w:szCs w:val="22"/>
        </w:rPr>
        <w:t>.</w:t>
      </w:r>
    </w:p>
    <w:p w14:paraId="62E95BE1" w14:textId="77777777" w:rsidR="00667C62" w:rsidRPr="00667C62" w:rsidRDefault="00667C62" w:rsidP="00667C62">
      <w:pPr>
        <w:spacing w:after="100" w:afterAutospacing="1"/>
        <w:rPr>
          <w:rFonts w:ascii="Segoe UI" w:eastAsia="Times New Roman" w:hAnsi="Segoe UI" w:cs="Segoe UI"/>
          <w:color w:val="212529"/>
          <w:sz w:val="22"/>
          <w:szCs w:val="22"/>
        </w:rPr>
      </w:pPr>
    </w:p>
    <w:p w14:paraId="2D76BA94" w14:textId="77777777" w:rsidR="00667C62" w:rsidRPr="00667C62" w:rsidRDefault="00667C62" w:rsidP="00667C62">
      <w:pPr>
        <w:spacing w:after="100" w:afterAutospacing="1"/>
        <w:rPr>
          <w:rFonts w:ascii="Segoe UI" w:eastAsia="Times New Roman" w:hAnsi="Segoe UI" w:cs="Segoe UI"/>
          <w:color w:val="212529"/>
          <w:sz w:val="22"/>
          <w:szCs w:val="22"/>
        </w:rPr>
      </w:pPr>
      <w:proofErr w:type="spellStart"/>
      <w:r w:rsidRPr="00667C62">
        <w:rPr>
          <w:rFonts w:ascii="Segoe UI" w:eastAsia="Times New Roman" w:hAnsi="Segoe UI" w:cs="Segoe UI"/>
          <w:color w:val="212529"/>
          <w:sz w:val="22"/>
          <w:szCs w:val="22"/>
        </w:rPr>
        <w:t>Sebhatu</w:t>
      </w:r>
      <w:proofErr w:type="spellEnd"/>
      <w:r w:rsidRPr="00667C62">
        <w:rPr>
          <w:rFonts w:ascii="Segoe UI" w:eastAsia="Times New Roman" w:hAnsi="Segoe UI" w:cs="Segoe UI"/>
          <w:color w:val="212529"/>
          <w:sz w:val="22"/>
          <w:szCs w:val="22"/>
        </w:rPr>
        <w:t xml:space="preserve">, </w:t>
      </w:r>
      <w:proofErr w:type="spellStart"/>
      <w:r w:rsidRPr="00667C62">
        <w:rPr>
          <w:rFonts w:ascii="Segoe UI" w:eastAsia="Times New Roman" w:hAnsi="Segoe UI" w:cs="Segoe UI"/>
          <w:color w:val="212529"/>
          <w:sz w:val="22"/>
          <w:szCs w:val="22"/>
        </w:rPr>
        <w:t>Rahel</w:t>
      </w:r>
      <w:proofErr w:type="spellEnd"/>
      <w:r w:rsidRPr="00667C62">
        <w:rPr>
          <w:rFonts w:ascii="Segoe UI" w:eastAsia="Times New Roman" w:hAnsi="Segoe UI" w:cs="Segoe UI"/>
          <w:color w:val="212529"/>
          <w:sz w:val="22"/>
          <w:szCs w:val="22"/>
        </w:rPr>
        <w:t xml:space="preserve"> </w:t>
      </w:r>
      <w:proofErr w:type="spellStart"/>
      <w:r w:rsidRPr="00667C62">
        <w:rPr>
          <w:rFonts w:ascii="Segoe UI" w:eastAsia="Times New Roman" w:hAnsi="Segoe UI" w:cs="Segoe UI"/>
          <w:color w:val="212529"/>
          <w:sz w:val="22"/>
          <w:szCs w:val="22"/>
        </w:rPr>
        <w:t>Weldeab</w:t>
      </w:r>
      <w:proofErr w:type="spellEnd"/>
      <w:r w:rsidRPr="00667C62">
        <w:rPr>
          <w:rFonts w:ascii="Segoe UI" w:eastAsia="Times New Roman" w:hAnsi="Segoe UI" w:cs="Segoe UI"/>
          <w:color w:val="212529"/>
          <w:sz w:val="22"/>
          <w:szCs w:val="22"/>
        </w:rPr>
        <w:t>. “Applying Postcolonial Approaches to Studies of Africa-EU Relations.” In </w:t>
      </w:r>
      <w:proofErr w:type="gramStart"/>
      <w:r w:rsidRPr="00667C62">
        <w:rPr>
          <w:rFonts w:ascii="Segoe UI" w:eastAsia="Times New Roman" w:hAnsi="Segoe UI" w:cs="Segoe UI"/>
          <w:i/>
          <w:iCs/>
          <w:color w:val="212529"/>
          <w:sz w:val="22"/>
          <w:szCs w:val="22"/>
        </w:rPr>
        <w:t>The</w:t>
      </w:r>
      <w:proofErr w:type="gramEnd"/>
      <w:r w:rsidRPr="00667C62">
        <w:rPr>
          <w:rFonts w:ascii="Segoe UI" w:eastAsia="Times New Roman" w:hAnsi="Segoe UI" w:cs="Segoe UI"/>
          <w:i/>
          <w:iCs/>
          <w:color w:val="212529"/>
          <w:sz w:val="22"/>
          <w:szCs w:val="22"/>
        </w:rPr>
        <w:t xml:space="preserve"> Routledge Handbook of EU-Africa Relations</w:t>
      </w:r>
      <w:r w:rsidRPr="00667C62">
        <w:rPr>
          <w:rFonts w:ascii="Segoe UI" w:eastAsia="Times New Roman" w:hAnsi="Segoe UI" w:cs="Segoe UI"/>
          <w:color w:val="212529"/>
          <w:sz w:val="22"/>
          <w:szCs w:val="22"/>
        </w:rPr>
        <w:t xml:space="preserve">, edited by Toni </w:t>
      </w:r>
      <w:proofErr w:type="spellStart"/>
      <w:r w:rsidRPr="00667C62">
        <w:rPr>
          <w:rFonts w:ascii="Segoe UI" w:eastAsia="Times New Roman" w:hAnsi="Segoe UI" w:cs="Segoe UI"/>
          <w:color w:val="212529"/>
          <w:sz w:val="22"/>
          <w:szCs w:val="22"/>
        </w:rPr>
        <w:t>Haastrup</w:t>
      </w:r>
      <w:proofErr w:type="spellEnd"/>
      <w:r w:rsidRPr="00667C62">
        <w:rPr>
          <w:rFonts w:ascii="Segoe UI" w:eastAsia="Times New Roman" w:hAnsi="Segoe UI" w:cs="Segoe UI"/>
          <w:color w:val="212529"/>
          <w:sz w:val="22"/>
          <w:szCs w:val="22"/>
        </w:rPr>
        <w:t xml:space="preserve">, Luís </w:t>
      </w:r>
      <w:proofErr w:type="spellStart"/>
      <w:r w:rsidRPr="00667C62">
        <w:rPr>
          <w:rFonts w:ascii="Segoe UI" w:eastAsia="Times New Roman" w:hAnsi="Segoe UI" w:cs="Segoe UI"/>
          <w:color w:val="212529"/>
          <w:sz w:val="22"/>
          <w:szCs w:val="22"/>
        </w:rPr>
        <w:t>Mah</w:t>
      </w:r>
      <w:proofErr w:type="spellEnd"/>
      <w:r w:rsidRPr="00667C62">
        <w:rPr>
          <w:rFonts w:ascii="Segoe UI" w:eastAsia="Times New Roman" w:hAnsi="Segoe UI" w:cs="Segoe UI"/>
          <w:color w:val="212529"/>
          <w:sz w:val="22"/>
          <w:szCs w:val="22"/>
        </w:rPr>
        <w:t>, and Niall Duggan. London: Routledge, 2020.</w:t>
      </w:r>
    </w:p>
    <w:p w14:paraId="3EE09290"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7: </w:t>
      </w:r>
      <w:hyperlink r:id="rId11" w:tooltip="Group Work" w:history="1">
        <w:r w:rsidRPr="00667C62">
          <w:rPr>
            <w:rFonts w:ascii="Segoe UI" w:eastAsia="Times New Roman" w:hAnsi="Segoe UI" w:cs="Segoe UI"/>
            <w:color w:val="CC2030"/>
            <w:u w:val="single"/>
          </w:rPr>
          <w:t>Group Work</w:t>
        </w:r>
      </w:hyperlink>
      <w:r w:rsidRPr="00667C62">
        <w:rPr>
          <w:rFonts w:ascii="Segoe UI" w:eastAsia="Times New Roman" w:hAnsi="Segoe UI" w:cs="Segoe UI"/>
          <w:color w:val="212529"/>
        </w:rPr>
        <w:t> Session II</w:t>
      </w:r>
    </w:p>
    <w:p w14:paraId="48636D23"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March 11</w:t>
      </w:r>
    </w:p>
    <w:p w14:paraId="295EB4DA"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w:t>
      </w:r>
      <w:r w:rsidRPr="00667C62">
        <w:rPr>
          <w:rFonts w:ascii="Segoe UI" w:eastAsia="Times New Roman" w:hAnsi="Segoe UI" w:cs="Segoe UI"/>
          <w:color w:val="212529"/>
          <w:sz w:val="22"/>
          <w:szCs w:val="22"/>
        </w:rPr>
        <w:t>: At least two groups will present their </w:t>
      </w:r>
      <w:hyperlink r:id="rId12" w:tooltip="Group Work" w:history="1">
        <w:r w:rsidRPr="00667C62">
          <w:rPr>
            <w:rFonts w:ascii="Segoe UI" w:eastAsia="Times New Roman" w:hAnsi="Segoe UI" w:cs="Segoe UI"/>
            <w:color w:val="CC2030"/>
            <w:sz w:val="22"/>
            <w:szCs w:val="22"/>
            <w:u w:val="single"/>
          </w:rPr>
          <w:t>group work</w:t>
        </w:r>
      </w:hyperlink>
      <w:r w:rsidRPr="00667C62">
        <w:rPr>
          <w:rFonts w:ascii="Segoe UI" w:eastAsia="Times New Roman" w:hAnsi="Segoe UI" w:cs="Segoe UI"/>
          <w:color w:val="212529"/>
          <w:sz w:val="22"/>
          <w:szCs w:val="22"/>
        </w:rPr>
        <w:t> outcome.</w:t>
      </w:r>
    </w:p>
    <w:p w14:paraId="314CE092"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lastRenderedPageBreak/>
        <w:t>Literature: </w:t>
      </w:r>
      <w:r w:rsidRPr="00667C62">
        <w:rPr>
          <w:rFonts w:ascii="Segoe UI" w:eastAsia="Times New Roman" w:hAnsi="Segoe UI" w:cs="Segoe UI"/>
          <w:color w:val="212529"/>
          <w:sz w:val="22"/>
          <w:szCs w:val="22"/>
        </w:rPr>
        <w:t>Each group will assign a reading of about 10pp.</w:t>
      </w:r>
    </w:p>
    <w:p w14:paraId="6D4FFE8E"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8: Research session: Trade agreements and globalization: The case of </w:t>
      </w:r>
      <w:r w:rsidRPr="00667C62">
        <w:rPr>
          <w:rFonts w:ascii="Segoe UI" w:eastAsia="Times New Roman" w:hAnsi="Segoe UI" w:cs="Segoe UI"/>
          <w:b/>
          <w:bCs/>
          <w:i/>
          <w:iCs/>
          <w:color w:val="212529"/>
        </w:rPr>
        <w:t>CETA (and TTIP)</w:t>
      </w:r>
    </w:p>
    <w:p w14:paraId="30E56C4C"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March 18</w:t>
      </w:r>
    </w:p>
    <w:p w14:paraId="6C7869DC"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w:t>
      </w:r>
      <w:r w:rsidRPr="00667C62">
        <w:rPr>
          <w:rFonts w:ascii="Segoe UI" w:eastAsia="Times New Roman" w:hAnsi="Segoe UI" w:cs="Segoe UI"/>
          <w:color w:val="212529"/>
          <w:sz w:val="22"/>
          <w:szCs w:val="22"/>
        </w:rPr>
        <w:t> CETA (Comprehensive Economic and Trade Agreement) entered into force provisionally on 21 September 2017, meaning most of the agreement now applies. How are the Canadian government and the EU presenting the trade agreement to their citizens? What are the effects of the agreement? What are the critics saying? What are the likely outcomes for Canadians and Europeans?</w:t>
      </w:r>
    </w:p>
    <w:p w14:paraId="62821D59"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Literature/Media:</w:t>
      </w:r>
    </w:p>
    <w:p w14:paraId="34ACC60F"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Government perspective:</w:t>
      </w:r>
    </w:p>
    <w:p w14:paraId="63370869"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Canada, Global Affairs. “About CETA.” GAC, April 25, 2016. </w:t>
      </w:r>
      <w:hyperlink r:id="rId13" w:history="1">
        <w:r w:rsidRPr="00667C62">
          <w:rPr>
            <w:rFonts w:ascii="Segoe UI" w:eastAsia="Times New Roman" w:hAnsi="Segoe UI" w:cs="Segoe UI"/>
            <w:color w:val="CC2030"/>
            <w:sz w:val="22"/>
            <w:szCs w:val="22"/>
            <w:u w:val="single"/>
          </w:rPr>
          <w:t>https://www.international.gc.ca/trade-commerce/trade-agreements-accords-commerciaux/agr-acc/ceta-aecg/about_ceta-propos_aecg.aspx?lang=eng</w:t>
        </w:r>
      </w:hyperlink>
      <w:r w:rsidRPr="00667C62">
        <w:rPr>
          <w:rFonts w:ascii="Segoe UI" w:eastAsia="Times New Roman" w:hAnsi="Segoe UI" w:cs="Segoe UI"/>
          <w:color w:val="212529"/>
          <w:sz w:val="22"/>
          <w:szCs w:val="22"/>
        </w:rPr>
        <w:t>.</w:t>
      </w:r>
    </w:p>
    <w:p w14:paraId="514A919D"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European Commission. “CETA - EU-Canada Comprehensive Economic and Trade Agreement.” Trade - European Commission. Accessed January 6, 2021.</w:t>
      </w:r>
      <w:hyperlink r:id="rId14" w:history="1">
        <w:r w:rsidRPr="00667C62">
          <w:rPr>
            <w:rFonts w:ascii="Segoe UI" w:eastAsia="Times New Roman" w:hAnsi="Segoe UI" w:cs="Segoe UI"/>
            <w:color w:val="CC2030"/>
            <w:sz w:val="22"/>
            <w:szCs w:val="22"/>
            <w:u w:val="single"/>
          </w:rPr>
          <w:t>https://ec.europa.eu/trade/policy/in-focus/ceta/index_en.htm</w:t>
        </w:r>
      </w:hyperlink>
      <w:r w:rsidRPr="00667C62">
        <w:rPr>
          <w:rFonts w:ascii="Segoe UI" w:eastAsia="Times New Roman" w:hAnsi="Segoe UI" w:cs="Segoe UI"/>
          <w:color w:val="212529"/>
          <w:sz w:val="22"/>
          <w:szCs w:val="22"/>
        </w:rPr>
        <w:t>.</w:t>
      </w:r>
    </w:p>
    <w:p w14:paraId="34C11C56" w14:textId="77777777" w:rsidR="00667C62" w:rsidRPr="00667C62" w:rsidRDefault="00667C62" w:rsidP="00667C62">
      <w:pPr>
        <w:spacing w:after="100" w:afterAutospacing="1"/>
        <w:rPr>
          <w:rFonts w:ascii="Segoe UI" w:eastAsia="Times New Roman" w:hAnsi="Segoe UI" w:cs="Segoe UI"/>
          <w:color w:val="212529"/>
          <w:sz w:val="22"/>
          <w:szCs w:val="22"/>
        </w:rPr>
      </w:pPr>
    </w:p>
    <w:p w14:paraId="6F68E316"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Critical NGOs, Think Tanks Perspective:</w:t>
      </w:r>
    </w:p>
    <w:p w14:paraId="25DCA6A6"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Corporate Europe Observatory. “The Great CETA Swindle,” 2016. </w:t>
      </w:r>
      <w:hyperlink r:id="rId15" w:history="1">
        <w:r w:rsidRPr="00667C62">
          <w:rPr>
            <w:rFonts w:ascii="Segoe UI" w:eastAsia="Times New Roman" w:hAnsi="Segoe UI" w:cs="Segoe UI"/>
            <w:color w:val="CC2030"/>
            <w:sz w:val="22"/>
            <w:szCs w:val="22"/>
            <w:u w:val="single"/>
          </w:rPr>
          <w:t>https://corporateeurope.org/sites/default/files/attachments/great-ceta-swindle.pdf</w:t>
        </w:r>
      </w:hyperlink>
      <w:r w:rsidRPr="00667C62">
        <w:rPr>
          <w:rFonts w:ascii="Segoe UI" w:eastAsia="Times New Roman" w:hAnsi="Segoe UI" w:cs="Segoe UI"/>
          <w:color w:val="212529"/>
          <w:sz w:val="22"/>
          <w:szCs w:val="22"/>
        </w:rPr>
        <w:t>.</w:t>
      </w:r>
    </w:p>
    <w:p w14:paraId="1CF1F843"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Powershift, and Canadian Center for Policy Alternatives. </w:t>
      </w:r>
      <w:r w:rsidRPr="00667C62">
        <w:rPr>
          <w:rFonts w:ascii="Segoe UI" w:eastAsia="Times New Roman" w:hAnsi="Segoe UI" w:cs="Segoe UI"/>
          <w:i/>
          <w:iCs/>
          <w:color w:val="212529"/>
          <w:sz w:val="22"/>
          <w:szCs w:val="22"/>
        </w:rPr>
        <w:t>Making Sense of CETA</w:t>
      </w:r>
      <w:r w:rsidRPr="00667C62">
        <w:rPr>
          <w:rFonts w:ascii="Segoe UI" w:eastAsia="Times New Roman" w:hAnsi="Segoe UI" w:cs="Segoe UI"/>
          <w:color w:val="212529"/>
          <w:sz w:val="22"/>
          <w:szCs w:val="22"/>
        </w:rPr>
        <w:t>. 2nd ed. Ottawa: Canadian Centre for Policy Alternatives, 2016.</w:t>
      </w:r>
      <w:hyperlink r:id="rId16" w:history="1">
        <w:r w:rsidRPr="00667C62">
          <w:rPr>
            <w:rFonts w:ascii="Segoe UI" w:eastAsia="Times New Roman" w:hAnsi="Segoe UI" w:cs="Segoe UI"/>
            <w:color w:val="CC2030"/>
            <w:sz w:val="22"/>
            <w:szCs w:val="22"/>
            <w:u w:val="single"/>
          </w:rPr>
          <w:t>http://epe.lac-bac.gc.ca/100/200/300/cdn_centre_policy_alternatives/2016/making-sense-ceta/Making_Sense_of_CETA_2016.pdf</w:t>
        </w:r>
      </w:hyperlink>
      <w:r w:rsidRPr="00667C62">
        <w:rPr>
          <w:rFonts w:ascii="Segoe UI" w:eastAsia="Times New Roman" w:hAnsi="Segoe UI" w:cs="Segoe UI"/>
          <w:color w:val="212529"/>
          <w:sz w:val="22"/>
          <w:szCs w:val="22"/>
        </w:rPr>
        <w:t>.</w:t>
      </w:r>
    </w:p>
    <w:p w14:paraId="09CDE089"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 xml:space="preserve">Sinclair, Scott, and Stuart </w:t>
      </w:r>
      <w:proofErr w:type="spellStart"/>
      <w:r w:rsidRPr="00667C62">
        <w:rPr>
          <w:rFonts w:ascii="Segoe UI" w:eastAsia="Times New Roman" w:hAnsi="Segoe UI" w:cs="Segoe UI"/>
          <w:color w:val="212529"/>
          <w:sz w:val="22"/>
          <w:szCs w:val="22"/>
        </w:rPr>
        <w:t>Trew</w:t>
      </w:r>
      <w:proofErr w:type="spellEnd"/>
      <w:r w:rsidRPr="00667C62">
        <w:rPr>
          <w:rFonts w:ascii="Segoe UI" w:eastAsia="Times New Roman" w:hAnsi="Segoe UI" w:cs="Segoe UI"/>
          <w:color w:val="212529"/>
          <w:sz w:val="22"/>
          <w:szCs w:val="22"/>
        </w:rPr>
        <w:t>. </w:t>
      </w:r>
      <w:r w:rsidRPr="00667C62">
        <w:rPr>
          <w:rFonts w:ascii="Segoe UI" w:eastAsia="Times New Roman" w:hAnsi="Segoe UI" w:cs="Segoe UI"/>
          <w:i/>
          <w:iCs/>
          <w:color w:val="212529"/>
          <w:sz w:val="22"/>
          <w:szCs w:val="22"/>
        </w:rPr>
        <w:t>Taking Stock of CETA: Early Impacts of the EU – Canada Comprehensive Economic and Trade Agreement</w:t>
      </w:r>
      <w:r w:rsidRPr="00667C62">
        <w:rPr>
          <w:rFonts w:ascii="Segoe UI" w:eastAsia="Times New Roman" w:hAnsi="Segoe UI" w:cs="Segoe UI"/>
          <w:color w:val="212529"/>
          <w:sz w:val="22"/>
          <w:szCs w:val="22"/>
        </w:rPr>
        <w:t>. Friedrich-Ebert-Stiftung, 2019.</w:t>
      </w:r>
    </w:p>
    <w:p w14:paraId="3A2B921B" w14:textId="77777777" w:rsidR="00667C62" w:rsidRPr="00667C62" w:rsidRDefault="00667C62" w:rsidP="00667C62">
      <w:pPr>
        <w:spacing w:after="100" w:afterAutospacing="1"/>
        <w:rPr>
          <w:rFonts w:ascii="Segoe UI" w:eastAsia="Times New Roman" w:hAnsi="Segoe UI" w:cs="Segoe UI"/>
          <w:color w:val="212529"/>
          <w:sz w:val="22"/>
          <w:szCs w:val="22"/>
        </w:rPr>
      </w:pPr>
    </w:p>
    <w:p w14:paraId="3490E156"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10: </w:t>
      </w:r>
      <w:r w:rsidRPr="00667C62">
        <w:rPr>
          <w:rFonts w:ascii="Segoe UI" w:eastAsia="Times New Roman" w:hAnsi="Segoe UI" w:cs="Segoe UI"/>
          <w:b/>
          <w:bCs/>
          <w:i/>
          <w:iCs/>
          <w:color w:val="212529"/>
        </w:rPr>
        <w:t>Group Work III</w:t>
      </w:r>
    </w:p>
    <w:p w14:paraId="35217DAE"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lastRenderedPageBreak/>
        <w:t>Date: March 25</w:t>
      </w:r>
    </w:p>
    <w:p w14:paraId="60DF4317"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 </w:t>
      </w:r>
      <w:r w:rsidRPr="00667C62">
        <w:rPr>
          <w:rFonts w:ascii="Segoe UI" w:eastAsia="Times New Roman" w:hAnsi="Segoe UI" w:cs="Segoe UI"/>
          <w:color w:val="212529"/>
          <w:sz w:val="22"/>
          <w:szCs w:val="22"/>
        </w:rPr>
        <w:t>At least two groups will present their </w:t>
      </w:r>
      <w:hyperlink r:id="rId17" w:tooltip="Group Work" w:history="1">
        <w:r w:rsidRPr="00667C62">
          <w:rPr>
            <w:rFonts w:ascii="Segoe UI" w:eastAsia="Times New Roman" w:hAnsi="Segoe UI" w:cs="Segoe UI"/>
            <w:color w:val="CC2030"/>
            <w:sz w:val="22"/>
            <w:szCs w:val="22"/>
            <w:u w:val="single"/>
          </w:rPr>
          <w:t>group work</w:t>
        </w:r>
      </w:hyperlink>
      <w:r w:rsidRPr="00667C62">
        <w:rPr>
          <w:rFonts w:ascii="Segoe UI" w:eastAsia="Times New Roman" w:hAnsi="Segoe UI" w:cs="Segoe UI"/>
          <w:color w:val="212529"/>
          <w:sz w:val="22"/>
          <w:szCs w:val="22"/>
        </w:rPr>
        <w:t> outcome.</w:t>
      </w:r>
    </w:p>
    <w:p w14:paraId="701DC31D"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 </w:t>
      </w:r>
      <w:r w:rsidRPr="00667C62">
        <w:rPr>
          <w:rFonts w:ascii="Segoe UI" w:eastAsia="Times New Roman" w:hAnsi="Segoe UI" w:cs="Segoe UI"/>
          <w:color w:val="212529"/>
          <w:sz w:val="22"/>
          <w:szCs w:val="22"/>
        </w:rPr>
        <w:t>Each group will assign a reading of about 10pp.</w:t>
      </w:r>
    </w:p>
    <w:p w14:paraId="40D30FBE" w14:textId="77777777" w:rsidR="00667C62" w:rsidRPr="00667C62" w:rsidRDefault="00667C62" w:rsidP="00667C62">
      <w:pPr>
        <w:spacing w:after="100" w:afterAutospacing="1"/>
        <w:outlineLvl w:val="3"/>
        <w:rPr>
          <w:rFonts w:ascii="Segoe UI" w:eastAsia="Times New Roman" w:hAnsi="Segoe UI" w:cs="Segoe UI"/>
          <w:color w:val="212529"/>
        </w:rPr>
      </w:pPr>
      <w:r w:rsidRPr="00667C62">
        <w:rPr>
          <w:rFonts w:ascii="Segoe UI" w:eastAsia="Times New Roman" w:hAnsi="Segoe UI" w:cs="Segoe UI"/>
          <w:color w:val="212529"/>
        </w:rPr>
        <w:t>Session 11: “Sub-imperialism”: How to make sense of BRICS in economic globalization?</w:t>
      </w:r>
    </w:p>
    <w:p w14:paraId="7C0FCE8D"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Date: April 1</w:t>
      </w:r>
    </w:p>
    <w:p w14:paraId="0573F1F6"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Topic:</w:t>
      </w:r>
      <w:r w:rsidRPr="00667C62">
        <w:rPr>
          <w:rFonts w:ascii="Segoe UI" w:eastAsia="Times New Roman" w:hAnsi="Segoe UI" w:cs="Segoe UI"/>
          <w:color w:val="212529"/>
          <w:sz w:val="22"/>
          <w:szCs w:val="22"/>
        </w:rPr>
        <w:t> Brazil, Russia, India, China, and South Africa are (or were?) considered as a potential trading bloc that could challenge the US and EU hegemony in economic globalization. What can we expect and how to analyze the BRICS? Would be a rising BRICS result in a more just economic world or will it just complicate a neo-imperialist world?</w:t>
      </w:r>
    </w:p>
    <w:p w14:paraId="4C160BDC"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b/>
          <w:bCs/>
          <w:color w:val="212529"/>
          <w:sz w:val="22"/>
          <w:szCs w:val="22"/>
        </w:rPr>
        <w:t>Literature</w:t>
      </w:r>
    </w:p>
    <w:p w14:paraId="04D1D82F"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Bond, Patrick. “BRICS within Critical International Political Economy.” In </w:t>
      </w:r>
      <w:proofErr w:type="gramStart"/>
      <w:r w:rsidRPr="00667C62">
        <w:rPr>
          <w:rFonts w:ascii="Segoe UI" w:eastAsia="Times New Roman" w:hAnsi="Segoe UI" w:cs="Segoe UI"/>
          <w:i/>
          <w:iCs/>
          <w:color w:val="212529"/>
          <w:sz w:val="22"/>
          <w:szCs w:val="22"/>
        </w:rPr>
        <w:t>The</w:t>
      </w:r>
      <w:proofErr w:type="gramEnd"/>
      <w:r w:rsidRPr="00667C62">
        <w:rPr>
          <w:rFonts w:ascii="Segoe UI" w:eastAsia="Times New Roman" w:hAnsi="Segoe UI" w:cs="Segoe UI"/>
          <w:i/>
          <w:iCs/>
          <w:color w:val="212529"/>
          <w:sz w:val="22"/>
          <w:szCs w:val="22"/>
        </w:rPr>
        <w:t xml:space="preserve"> Palgrave Handbook of Critical International Political Economy</w:t>
      </w:r>
      <w:r w:rsidRPr="00667C62">
        <w:rPr>
          <w:rFonts w:ascii="Segoe UI" w:eastAsia="Times New Roman" w:hAnsi="Segoe UI" w:cs="Segoe UI"/>
          <w:color w:val="212529"/>
          <w:sz w:val="22"/>
          <w:szCs w:val="22"/>
        </w:rPr>
        <w:t xml:space="preserve">, edited by Alan </w:t>
      </w:r>
      <w:proofErr w:type="spellStart"/>
      <w:r w:rsidRPr="00667C62">
        <w:rPr>
          <w:rFonts w:ascii="Segoe UI" w:eastAsia="Times New Roman" w:hAnsi="Segoe UI" w:cs="Segoe UI"/>
          <w:color w:val="212529"/>
          <w:sz w:val="22"/>
          <w:szCs w:val="22"/>
        </w:rPr>
        <w:t>Cafruny</w:t>
      </w:r>
      <w:proofErr w:type="spellEnd"/>
      <w:r w:rsidRPr="00667C62">
        <w:rPr>
          <w:rFonts w:ascii="Segoe UI" w:eastAsia="Times New Roman" w:hAnsi="Segoe UI" w:cs="Segoe UI"/>
          <w:color w:val="212529"/>
          <w:sz w:val="22"/>
          <w:szCs w:val="22"/>
        </w:rPr>
        <w:t xml:space="preserve">, Leila Simona </w:t>
      </w:r>
      <w:proofErr w:type="spellStart"/>
      <w:r w:rsidRPr="00667C62">
        <w:rPr>
          <w:rFonts w:ascii="Segoe UI" w:eastAsia="Times New Roman" w:hAnsi="Segoe UI" w:cs="Segoe UI"/>
          <w:color w:val="212529"/>
          <w:sz w:val="22"/>
          <w:szCs w:val="22"/>
        </w:rPr>
        <w:t>Talani</w:t>
      </w:r>
      <w:proofErr w:type="spellEnd"/>
      <w:r w:rsidRPr="00667C62">
        <w:rPr>
          <w:rFonts w:ascii="Segoe UI" w:eastAsia="Times New Roman" w:hAnsi="Segoe UI" w:cs="Segoe UI"/>
          <w:color w:val="212529"/>
          <w:sz w:val="22"/>
          <w:szCs w:val="22"/>
        </w:rPr>
        <w:t xml:space="preserve">, and Gonzalo </w:t>
      </w:r>
      <w:proofErr w:type="spellStart"/>
      <w:r w:rsidRPr="00667C62">
        <w:rPr>
          <w:rFonts w:ascii="Segoe UI" w:eastAsia="Times New Roman" w:hAnsi="Segoe UI" w:cs="Segoe UI"/>
          <w:color w:val="212529"/>
          <w:sz w:val="22"/>
          <w:szCs w:val="22"/>
        </w:rPr>
        <w:t>Pozo</w:t>
      </w:r>
      <w:proofErr w:type="spellEnd"/>
      <w:r w:rsidRPr="00667C62">
        <w:rPr>
          <w:rFonts w:ascii="Segoe UI" w:eastAsia="Times New Roman" w:hAnsi="Segoe UI" w:cs="Segoe UI"/>
          <w:color w:val="212529"/>
          <w:sz w:val="22"/>
          <w:szCs w:val="22"/>
        </w:rPr>
        <w:t xml:space="preserve"> Martin, 351–68. London: Palgrave Macmillan UK, 2016. </w:t>
      </w:r>
      <w:hyperlink r:id="rId18" w:history="1">
        <w:r w:rsidRPr="00667C62">
          <w:rPr>
            <w:rFonts w:ascii="Segoe UI" w:eastAsia="Times New Roman" w:hAnsi="Segoe UI" w:cs="Segoe UI"/>
            <w:color w:val="CC2030"/>
            <w:sz w:val="22"/>
            <w:szCs w:val="22"/>
            <w:u w:val="single"/>
          </w:rPr>
          <w:t>https://doi.org/10.1057/978-1-137-50018-2</w:t>
        </w:r>
      </w:hyperlink>
      <w:r w:rsidRPr="00667C62">
        <w:rPr>
          <w:rFonts w:ascii="Segoe UI" w:eastAsia="Times New Roman" w:hAnsi="Segoe UI" w:cs="Segoe UI"/>
          <w:color w:val="212529"/>
          <w:sz w:val="22"/>
          <w:szCs w:val="22"/>
        </w:rPr>
        <w:t>.</w:t>
      </w:r>
    </w:p>
    <w:p w14:paraId="015F2DB6" w14:textId="77777777" w:rsidR="00667C62" w:rsidRPr="00667C62" w:rsidRDefault="00667C62" w:rsidP="00667C62">
      <w:pPr>
        <w:spacing w:after="100" w:afterAutospacing="1"/>
        <w:rPr>
          <w:rFonts w:ascii="Segoe UI" w:eastAsia="Times New Roman" w:hAnsi="Segoe UI" w:cs="Segoe UI"/>
          <w:color w:val="212529"/>
          <w:sz w:val="22"/>
          <w:szCs w:val="22"/>
        </w:rPr>
      </w:pPr>
      <w:r w:rsidRPr="00667C62">
        <w:rPr>
          <w:rFonts w:ascii="Segoe UI" w:eastAsia="Times New Roman" w:hAnsi="Segoe UI" w:cs="Segoe UI"/>
          <w:color w:val="212529"/>
          <w:sz w:val="22"/>
          <w:szCs w:val="22"/>
        </w:rPr>
        <w:t>Robinson, William I. “The Transnational State and the BRICS: A Global Capitalism Perspective.” </w:t>
      </w:r>
      <w:r w:rsidRPr="00667C62">
        <w:rPr>
          <w:rFonts w:ascii="Segoe UI" w:eastAsia="Times New Roman" w:hAnsi="Segoe UI" w:cs="Segoe UI"/>
          <w:i/>
          <w:iCs/>
          <w:color w:val="212529"/>
          <w:sz w:val="22"/>
          <w:szCs w:val="22"/>
        </w:rPr>
        <w:t>Third World Quarterly</w:t>
      </w:r>
      <w:r w:rsidRPr="00667C62">
        <w:rPr>
          <w:rFonts w:ascii="Segoe UI" w:eastAsia="Times New Roman" w:hAnsi="Segoe UI" w:cs="Segoe UI"/>
          <w:color w:val="212529"/>
          <w:sz w:val="22"/>
          <w:szCs w:val="22"/>
        </w:rPr>
        <w:t> 36, no. 1 (2015): 1–21.</w:t>
      </w:r>
      <w:hyperlink r:id="rId19" w:history="1">
        <w:r w:rsidRPr="00667C62">
          <w:rPr>
            <w:rFonts w:ascii="Segoe UI" w:eastAsia="Times New Roman" w:hAnsi="Segoe UI" w:cs="Segoe UI"/>
            <w:color w:val="CC2030"/>
            <w:sz w:val="22"/>
            <w:szCs w:val="22"/>
            <w:u w:val="single"/>
          </w:rPr>
          <w:t>https://doi.org/10.1080/01436597.2015.976012</w:t>
        </w:r>
      </w:hyperlink>
      <w:r w:rsidRPr="00667C62">
        <w:rPr>
          <w:rFonts w:ascii="Segoe UI" w:eastAsia="Times New Roman" w:hAnsi="Segoe UI" w:cs="Segoe UI"/>
          <w:color w:val="212529"/>
          <w:sz w:val="22"/>
          <w:szCs w:val="22"/>
        </w:rPr>
        <w:t>.</w:t>
      </w:r>
    </w:p>
    <w:p w14:paraId="3B696028" w14:textId="77777777" w:rsidR="00667C62" w:rsidRPr="00667C62" w:rsidRDefault="00667C62" w:rsidP="00667C62">
      <w:pPr>
        <w:rPr>
          <w:rFonts w:ascii="Times New Roman" w:eastAsia="Times New Roman" w:hAnsi="Times New Roman" w:cs="Times New Roman"/>
        </w:rPr>
      </w:pPr>
    </w:p>
    <w:p w14:paraId="03127714" w14:textId="77777777" w:rsidR="0028451A" w:rsidRDefault="00667C62"/>
    <w:sectPr w:rsidR="0028451A" w:rsidSect="000771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62"/>
    <w:rsid w:val="000771E6"/>
    <w:rsid w:val="000A0530"/>
    <w:rsid w:val="00667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3EF3BD"/>
  <w15:chartTrackingRefBased/>
  <w15:docId w15:val="{BB42D5D7-B024-5741-A8AC-DA89E6EC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67C6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7C62"/>
    <w:rPr>
      <w:rFonts w:ascii="Times New Roman" w:eastAsia="Times New Roman" w:hAnsi="Times New Roman" w:cs="Times New Roman"/>
      <w:b/>
      <w:bCs/>
    </w:rPr>
  </w:style>
  <w:style w:type="paragraph" w:styleId="NormalWeb">
    <w:name w:val="Normal (Web)"/>
    <w:basedOn w:val="Normal"/>
    <w:uiPriority w:val="99"/>
    <w:semiHidden/>
    <w:unhideWhenUsed/>
    <w:rsid w:val="00667C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67C62"/>
  </w:style>
  <w:style w:type="character" w:styleId="Hyperlink">
    <w:name w:val="Hyperlink"/>
    <w:basedOn w:val="DefaultParagraphFont"/>
    <w:uiPriority w:val="99"/>
    <w:semiHidden/>
    <w:unhideWhenUsed/>
    <w:rsid w:val="00667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8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are-negotiations-for-a-new-cotonou-agreement-at-the-finish-line/a-54327841" TargetMode="External"/><Relationship Id="rId13" Type="http://schemas.openxmlformats.org/officeDocument/2006/relationships/hyperlink" Target="https://www.international.gc.ca/trade-commerce/trade-agreements-accords-commerciaux/agr-acc/ceta-aecg/about_ceta-propos_aecg.aspx?lang=eng" TargetMode="External"/><Relationship Id="rId18" Type="http://schemas.openxmlformats.org/officeDocument/2006/relationships/hyperlink" Target="https://doi.org/10.1057/978-1-137-50018-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class.yorku.ca/eclass/mod/assign/view.php?id=472977" TargetMode="External"/><Relationship Id="rId12" Type="http://schemas.openxmlformats.org/officeDocument/2006/relationships/hyperlink" Target="https://eclass.yorku.ca/eclass/mod/assign/view.php?id=472977" TargetMode="External"/><Relationship Id="rId17" Type="http://schemas.openxmlformats.org/officeDocument/2006/relationships/hyperlink" Target="https://eclass.yorku.ca/eclass/mod/assign/view.php?id=472977" TargetMode="External"/><Relationship Id="rId2" Type="http://schemas.openxmlformats.org/officeDocument/2006/relationships/settings" Target="settings.xml"/><Relationship Id="rId16" Type="http://schemas.openxmlformats.org/officeDocument/2006/relationships/hyperlink" Target="http://epe.lac-bac.gc.ca/100/200/300/cdn_centre_policy_alternatives/2016/making-sense-ceta/Making_Sense_of_CETA_2016.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class.yorku.ca/eclass/mod/assign/view.php?id=472977" TargetMode="External"/><Relationship Id="rId11" Type="http://schemas.openxmlformats.org/officeDocument/2006/relationships/hyperlink" Target="https://eclass.yorku.ca/eclass/mod/assign/view.php?id=472977" TargetMode="External"/><Relationship Id="rId5" Type="http://schemas.openxmlformats.org/officeDocument/2006/relationships/hyperlink" Target="https://doi.org/10.1257/jep.30.1.95" TargetMode="External"/><Relationship Id="rId15" Type="http://schemas.openxmlformats.org/officeDocument/2006/relationships/hyperlink" Target="https://corporateeurope.org/sites/default/files/attachments/great-ceta-swindle.pdf" TargetMode="External"/><Relationship Id="rId10" Type="http://schemas.openxmlformats.org/officeDocument/2006/relationships/hyperlink" Target="https://www.euractiv.com/section/botswana/news/tensions-simmer-over-eu-africa-trade-relations/" TargetMode="External"/><Relationship Id="rId19" Type="http://schemas.openxmlformats.org/officeDocument/2006/relationships/hyperlink" Target="https://doi.org/10.1080/01436597.2015.976012" TargetMode="External"/><Relationship Id="rId4" Type="http://schemas.openxmlformats.org/officeDocument/2006/relationships/hyperlink" Target="https://www.khanacademy.org/test-prep/mcat/society-and-culture/demographics/v/globalization-theories" TargetMode="External"/><Relationship Id="rId9" Type="http://schemas.openxmlformats.org/officeDocument/2006/relationships/hyperlink" Target="http://Www.Euractiv.Com" TargetMode="External"/><Relationship Id="rId14" Type="http://schemas.openxmlformats.org/officeDocument/2006/relationships/hyperlink" Target="https://ec.europa.eu/trade/policy/in-focus/ceta/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 gonehfarahani</dc:creator>
  <cp:keywords/>
  <dc:description/>
  <cp:lastModifiedBy>shahab gonehfarahani</cp:lastModifiedBy>
  <cp:revision>1</cp:revision>
  <dcterms:created xsi:type="dcterms:W3CDTF">2021-01-18T05:31:00Z</dcterms:created>
  <dcterms:modified xsi:type="dcterms:W3CDTF">2021-01-18T05:33:00Z</dcterms:modified>
</cp:coreProperties>
</file>