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BEFA7" w14:textId="77777777" w:rsidR="000A434E" w:rsidRDefault="000A434E" w:rsidP="000A434E">
      <w:pPr>
        <w:pStyle w:val="Default"/>
        <w:rPr>
          <w:rFonts w:ascii="Arial" w:hAnsi="Arial" w:cs="Arial"/>
          <w:sz w:val="23"/>
          <w:szCs w:val="23"/>
        </w:rPr>
      </w:pPr>
    </w:p>
    <w:p w14:paraId="6195D84C" w14:textId="77777777" w:rsidR="000A434E" w:rsidRPr="00FA4BAB" w:rsidRDefault="000A434E" w:rsidP="000A434E">
      <w:pPr>
        <w:pStyle w:val="Default"/>
        <w:ind w:left="720" w:hanging="360"/>
        <w:rPr>
          <w:rFonts w:ascii="Arial" w:hAnsi="Arial" w:cs="Arial"/>
          <w:sz w:val="18"/>
          <w:szCs w:val="18"/>
        </w:rPr>
      </w:pPr>
      <w:r w:rsidRPr="00FA4BAB">
        <w:rPr>
          <w:rFonts w:ascii="Arial" w:hAnsi="Arial" w:cs="Arial"/>
          <w:b/>
          <w:bCs/>
          <w:sz w:val="18"/>
          <w:szCs w:val="18"/>
        </w:rPr>
        <w:t>REQUIRED CONTENT (Using APA format)</w:t>
      </w:r>
    </w:p>
    <w:p w14:paraId="4C97B466" w14:textId="77777777" w:rsidR="000A434E" w:rsidRPr="00FA4BAB" w:rsidRDefault="000A434E" w:rsidP="000A434E">
      <w:pPr>
        <w:pStyle w:val="Default"/>
        <w:rPr>
          <w:rFonts w:ascii="Arial" w:hAnsi="Arial" w:cs="Arial"/>
          <w:sz w:val="18"/>
          <w:szCs w:val="18"/>
        </w:rPr>
      </w:pPr>
    </w:p>
    <w:p w14:paraId="72F09042" w14:textId="77777777" w:rsidR="000A434E" w:rsidRPr="00FA4BAB" w:rsidRDefault="000A434E" w:rsidP="000A434E">
      <w:pPr>
        <w:pStyle w:val="Default"/>
        <w:ind w:left="720"/>
        <w:rPr>
          <w:rFonts w:ascii="Arial" w:hAnsi="Arial" w:cs="Arial"/>
          <w:sz w:val="18"/>
          <w:szCs w:val="18"/>
        </w:rPr>
      </w:pPr>
    </w:p>
    <w:p w14:paraId="11DB20B3" w14:textId="77777777" w:rsidR="000A434E" w:rsidRPr="00FA4BAB" w:rsidRDefault="000A434E" w:rsidP="000A434E">
      <w:pPr>
        <w:pStyle w:val="Default"/>
        <w:ind w:left="1440" w:hanging="360"/>
        <w:rPr>
          <w:rFonts w:ascii="Arial" w:hAnsi="Arial" w:cs="Arial"/>
          <w:sz w:val="18"/>
          <w:szCs w:val="18"/>
        </w:rPr>
      </w:pPr>
      <w:r w:rsidRPr="00FA4BAB">
        <w:rPr>
          <w:rFonts w:ascii="Arial" w:hAnsi="Arial" w:cs="Arial"/>
          <w:b/>
          <w:bCs/>
          <w:sz w:val="18"/>
          <w:szCs w:val="18"/>
        </w:rPr>
        <w:t xml:space="preserve">a. THE PHARMACOLOGY OF MARIJUANA: </w:t>
      </w:r>
    </w:p>
    <w:p w14:paraId="1E823C16" w14:textId="77777777" w:rsidR="000A434E" w:rsidRPr="00FA4BAB" w:rsidRDefault="000A434E" w:rsidP="000A434E">
      <w:pPr>
        <w:pStyle w:val="Default"/>
        <w:rPr>
          <w:rFonts w:ascii="Arial" w:hAnsi="Arial" w:cs="Arial"/>
          <w:sz w:val="18"/>
          <w:szCs w:val="18"/>
        </w:rPr>
      </w:pPr>
    </w:p>
    <w:p w14:paraId="0547CF4B" w14:textId="77777777" w:rsidR="000A434E" w:rsidRPr="00FA4BAB" w:rsidRDefault="000A434E" w:rsidP="000A434E">
      <w:pPr>
        <w:pStyle w:val="Default"/>
        <w:ind w:left="720" w:firstLine="720"/>
        <w:rPr>
          <w:rFonts w:ascii="Arial" w:hAnsi="Arial" w:cs="Arial"/>
          <w:sz w:val="18"/>
          <w:szCs w:val="18"/>
        </w:rPr>
      </w:pPr>
      <w:r w:rsidRPr="00FA4BAB">
        <w:rPr>
          <w:rFonts w:ascii="Arial" w:hAnsi="Arial" w:cs="Arial"/>
          <w:sz w:val="18"/>
          <w:szCs w:val="18"/>
        </w:rPr>
        <w:t xml:space="preserve">Content must include, at a minimum, the topics below. </w:t>
      </w:r>
    </w:p>
    <w:p w14:paraId="2EE825AC" w14:textId="77777777" w:rsidR="000A434E" w:rsidRPr="00FA4BAB" w:rsidRDefault="000A434E" w:rsidP="000A434E">
      <w:pPr>
        <w:pStyle w:val="Default"/>
        <w:ind w:left="2160" w:hanging="180"/>
        <w:rPr>
          <w:rFonts w:ascii="Arial" w:hAnsi="Arial" w:cs="Arial"/>
          <w:sz w:val="18"/>
          <w:szCs w:val="18"/>
        </w:rPr>
      </w:pPr>
      <w:proofErr w:type="spellStart"/>
      <w:r w:rsidRPr="00FA4BAB">
        <w:rPr>
          <w:rFonts w:ascii="Arial" w:hAnsi="Arial" w:cs="Arial"/>
          <w:sz w:val="18"/>
          <w:szCs w:val="18"/>
        </w:rPr>
        <w:t>i</w:t>
      </w:r>
      <w:proofErr w:type="spellEnd"/>
      <w:r w:rsidRPr="00FA4BAB">
        <w:rPr>
          <w:rFonts w:ascii="Arial" w:hAnsi="Arial" w:cs="Arial"/>
          <w:sz w:val="18"/>
          <w:szCs w:val="18"/>
        </w:rPr>
        <w:t>. A description of the endocannabinoid system</w:t>
      </w:r>
    </w:p>
    <w:p w14:paraId="1AF9FE85" w14:textId="77777777" w:rsidR="000A434E" w:rsidRPr="00FA4BAB" w:rsidRDefault="000A434E" w:rsidP="000A434E">
      <w:pPr>
        <w:pStyle w:val="Default"/>
        <w:rPr>
          <w:rFonts w:ascii="Arial" w:hAnsi="Arial" w:cs="Arial"/>
          <w:sz w:val="18"/>
          <w:szCs w:val="18"/>
        </w:rPr>
      </w:pPr>
    </w:p>
    <w:p w14:paraId="03A5EF4A" w14:textId="77777777" w:rsidR="000A434E" w:rsidRPr="00FA4BAB" w:rsidRDefault="000A434E" w:rsidP="000A434E">
      <w:pPr>
        <w:pStyle w:val="Default"/>
        <w:pageBreakBefore/>
        <w:rPr>
          <w:rFonts w:ascii="Arial" w:hAnsi="Arial" w:cs="Arial"/>
          <w:sz w:val="18"/>
          <w:szCs w:val="18"/>
        </w:rPr>
      </w:pPr>
      <w:bookmarkStart w:id="0" w:name="_GoBack"/>
      <w:bookmarkEnd w:id="0"/>
    </w:p>
    <w:p w14:paraId="0FD99B7D"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ii. A description of the components of marijuana, including the major cannabinoids and terpenes </w:t>
      </w:r>
    </w:p>
    <w:p w14:paraId="2A2EC754"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iii. </w:t>
      </w:r>
      <w:proofErr w:type="gramStart"/>
      <w:r w:rsidRPr="00FA4BAB">
        <w:rPr>
          <w:rFonts w:ascii="Arial" w:hAnsi="Arial" w:cs="Arial"/>
          <w:sz w:val="18"/>
          <w:szCs w:val="18"/>
        </w:rPr>
        <w:t>the</w:t>
      </w:r>
      <w:proofErr w:type="gramEnd"/>
      <w:r w:rsidRPr="00FA4BAB">
        <w:rPr>
          <w:rFonts w:ascii="Arial" w:hAnsi="Arial" w:cs="Arial"/>
          <w:sz w:val="18"/>
          <w:szCs w:val="18"/>
        </w:rPr>
        <w:t xml:space="preserve"> basic pharmacology of the major cannabinoids </w:t>
      </w:r>
    </w:p>
    <w:p w14:paraId="5FA1AED7" w14:textId="77777777" w:rsidR="000A434E" w:rsidRPr="00FA4BAB" w:rsidRDefault="000A434E" w:rsidP="000A434E">
      <w:pPr>
        <w:pStyle w:val="Default"/>
        <w:rPr>
          <w:rFonts w:ascii="Arial" w:hAnsi="Arial" w:cs="Arial"/>
          <w:sz w:val="18"/>
          <w:szCs w:val="18"/>
        </w:rPr>
      </w:pPr>
    </w:p>
    <w:p w14:paraId="58BD5954" w14:textId="77777777" w:rsidR="000A434E" w:rsidRPr="00FA4BAB" w:rsidRDefault="000A434E" w:rsidP="000A434E">
      <w:pPr>
        <w:pStyle w:val="Default"/>
        <w:ind w:left="1440" w:hanging="360"/>
        <w:rPr>
          <w:rFonts w:ascii="Arial" w:hAnsi="Arial" w:cs="Arial"/>
          <w:sz w:val="18"/>
          <w:szCs w:val="18"/>
        </w:rPr>
      </w:pPr>
      <w:r w:rsidRPr="00FA4BAB">
        <w:rPr>
          <w:rFonts w:ascii="Arial" w:hAnsi="Arial" w:cs="Arial"/>
          <w:b/>
          <w:bCs/>
          <w:sz w:val="18"/>
          <w:szCs w:val="18"/>
        </w:rPr>
        <w:t xml:space="preserve">b. CONTRAINDICATIONS: ABSOLUTE AND RELATIVE </w:t>
      </w:r>
    </w:p>
    <w:p w14:paraId="7318C294" w14:textId="77777777" w:rsidR="000A434E" w:rsidRPr="00FA4BAB" w:rsidRDefault="000A434E" w:rsidP="000A434E">
      <w:pPr>
        <w:pStyle w:val="Default"/>
        <w:rPr>
          <w:rFonts w:ascii="Arial" w:hAnsi="Arial" w:cs="Arial"/>
          <w:sz w:val="18"/>
          <w:szCs w:val="18"/>
        </w:rPr>
      </w:pPr>
    </w:p>
    <w:p w14:paraId="17EDAA85" w14:textId="77777777" w:rsidR="000A434E" w:rsidRPr="00FA4BAB" w:rsidRDefault="000A434E" w:rsidP="000A434E">
      <w:pPr>
        <w:pStyle w:val="Default"/>
        <w:ind w:left="1440"/>
        <w:rPr>
          <w:rFonts w:ascii="Arial" w:hAnsi="Arial" w:cs="Arial"/>
          <w:sz w:val="18"/>
          <w:szCs w:val="18"/>
        </w:rPr>
      </w:pPr>
      <w:r w:rsidRPr="00FA4BAB">
        <w:rPr>
          <w:rFonts w:ascii="Arial" w:hAnsi="Arial" w:cs="Arial"/>
          <w:sz w:val="18"/>
          <w:szCs w:val="18"/>
        </w:rPr>
        <w:t xml:space="preserve">Content must address, at a minimum, the topics below. </w:t>
      </w:r>
    </w:p>
    <w:p w14:paraId="13B36272" w14:textId="77777777" w:rsidR="000A434E" w:rsidRPr="00FA4BAB" w:rsidRDefault="000A434E" w:rsidP="000A434E">
      <w:pPr>
        <w:pStyle w:val="Default"/>
        <w:ind w:left="2160" w:hanging="180"/>
        <w:rPr>
          <w:rFonts w:ascii="Arial" w:hAnsi="Arial" w:cs="Arial"/>
          <w:sz w:val="18"/>
          <w:szCs w:val="18"/>
        </w:rPr>
      </w:pPr>
      <w:proofErr w:type="spellStart"/>
      <w:r w:rsidRPr="00FA4BAB">
        <w:rPr>
          <w:rFonts w:ascii="Arial" w:hAnsi="Arial" w:cs="Arial"/>
          <w:sz w:val="18"/>
          <w:szCs w:val="18"/>
        </w:rPr>
        <w:t>i</w:t>
      </w:r>
      <w:proofErr w:type="spellEnd"/>
      <w:r w:rsidRPr="00FA4BAB">
        <w:rPr>
          <w:rFonts w:ascii="Arial" w:hAnsi="Arial" w:cs="Arial"/>
          <w:sz w:val="18"/>
          <w:szCs w:val="18"/>
        </w:rPr>
        <w:t xml:space="preserve">. History of psychotic illness or a family history of a first degree relative with schizophrenia </w:t>
      </w:r>
    </w:p>
    <w:p w14:paraId="63D476BE"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ii. Women should not consume during pregnancy or while breastfeeding except on the advice of the certifying practitioner, and in the case of breastfeeding mothers, including the infant’s pediatrician </w:t>
      </w:r>
    </w:p>
    <w:p w14:paraId="68DC543A"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iii. Any other relevant contraindications such as but not limited to: cardiovascular, liver or kidney disease </w:t>
      </w:r>
    </w:p>
    <w:p w14:paraId="679822EA" w14:textId="77777777" w:rsidR="000A434E" w:rsidRPr="00FA4BAB" w:rsidRDefault="000A434E" w:rsidP="000A434E">
      <w:pPr>
        <w:pStyle w:val="Default"/>
        <w:rPr>
          <w:rFonts w:ascii="Arial" w:hAnsi="Arial" w:cs="Arial"/>
          <w:sz w:val="18"/>
          <w:szCs w:val="18"/>
        </w:rPr>
      </w:pPr>
    </w:p>
    <w:p w14:paraId="52804FC9" w14:textId="77777777" w:rsidR="000A434E" w:rsidRPr="00FA4BAB" w:rsidRDefault="000A434E" w:rsidP="000A434E">
      <w:pPr>
        <w:pStyle w:val="Default"/>
        <w:ind w:left="1440" w:hanging="360"/>
        <w:rPr>
          <w:rFonts w:ascii="Arial" w:hAnsi="Arial" w:cs="Arial"/>
          <w:sz w:val="18"/>
          <w:szCs w:val="18"/>
        </w:rPr>
      </w:pPr>
      <w:r w:rsidRPr="00FA4BAB">
        <w:rPr>
          <w:rFonts w:ascii="Arial" w:hAnsi="Arial" w:cs="Arial"/>
          <w:b/>
          <w:bCs/>
          <w:sz w:val="18"/>
          <w:szCs w:val="18"/>
        </w:rPr>
        <w:t xml:space="preserve">c. SIDE EFFECTS: </w:t>
      </w:r>
    </w:p>
    <w:p w14:paraId="1F81B7A0" w14:textId="77777777" w:rsidR="000A434E" w:rsidRPr="00FA4BAB" w:rsidRDefault="000A434E" w:rsidP="000A434E">
      <w:pPr>
        <w:pStyle w:val="Default"/>
        <w:rPr>
          <w:rFonts w:ascii="Arial" w:hAnsi="Arial" w:cs="Arial"/>
          <w:sz w:val="18"/>
          <w:szCs w:val="18"/>
        </w:rPr>
      </w:pPr>
    </w:p>
    <w:p w14:paraId="4E6E344A" w14:textId="77777777" w:rsidR="000A434E" w:rsidRPr="00FA4BAB" w:rsidRDefault="000A434E" w:rsidP="000A434E">
      <w:pPr>
        <w:pStyle w:val="Default"/>
        <w:ind w:left="1440"/>
        <w:rPr>
          <w:rFonts w:ascii="Arial" w:hAnsi="Arial" w:cs="Arial"/>
          <w:sz w:val="18"/>
          <w:szCs w:val="18"/>
        </w:rPr>
      </w:pPr>
      <w:r w:rsidRPr="00FA4BAB">
        <w:rPr>
          <w:rFonts w:ascii="Arial" w:hAnsi="Arial" w:cs="Arial"/>
          <w:sz w:val="18"/>
          <w:szCs w:val="18"/>
        </w:rPr>
        <w:t xml:space="preserve">Content must address, at a minimum, the side effects listed below and include factors which may influence the side effect profile (dosage form, route of administration, cannabinoid profile, patient comorbidities, or any other factors). </w:t>
      </w:r>
    </w:p>
    <w:p w14:paraId="74D8D970" w14:textId="77777777" w:rsidR="000A434E" w:rsidRPr="00FA4BAB" w:rsidRDefault="000A434E" w:rsidP="000A434E">
      <w:pPr>
        <w:pStyle w:val="Default"/>
        <w:ind w:left="2160" w:hanging="180"/>
        <w:rPr>
          <w:rFonts w:ascii="Arial" w:hAnsi="Arial" w:cs="Arial"/>
          <w:sz w:val="18"/>
          <w:szCs w:val="18"/>
        </w:rPr>
      </w:pPr>
      <w:proofErr w:type="spellStart"/>
      <w:r w:rsidRPr="00FA4BAB">
        <w:rPr>
          <w:rFonts w:ascii="Arial" w:hAnsi="Arial" w:cs="Arial"/>
          <w:sz w:val="18"/>
          <w:szCs w:val="18"/>
        </w:rPr>
        <w:t>i</w:t>
      </w:r>
      <w:proofErr w:type="spellEnd"/>
      <w:r w:rsidRPr="00FA4BAB">
        <w:rPr>
          <w:rFonts w:ascii="Arial" w:hAnsi="Arial" w:cs="Arial"/>
          <w:sz w:val="18"/>
          <w:szCs w:val="18"/>
        </w:rPr>
        <w:t xml:space="preserve">. Dysphoria; sometimes severe </w:t>
      </w:r>
    </w:p>
    <w:p w14:paraId="3E1AA6BB"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ii. Nausea at high doses </w:t>
      </w:r>
    </w:p>
    <w:p w14:paraId="1F7B3651"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iii. Dizziness </w:t>
      </w:r>
    </w:p>
    <w:p w14:paraId="54DF87DC"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iv. Ataxia </w:t>
      </w:r>
    </w:p>
    <w:p w14:paraId="1E6BD2DF"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v. Dry mouth </w:t>
      </w:r>
    </w:p>
    <w:p w14:paraId="29858796"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vi. Bronchitis </w:t>
      </w:r>
    </w:p>
    <w:p w14:paraId="02AF3F6A" w14:textId="77777777" w:rsidR="000A434E" w:rsidRPr="00FA4BAB" w:rsidRDefault="000A434E" w:rsidP="000A434E">
      <w:pPr>
        <w:pStyle w:val="Default"/>
        <w:rPr>
          <w:rFonts w:ascii="Arial" w:hAnsi="Arial" w:cs="Arial"/>
          <w:sz w:val="18"/>
          <w:szCs w:val="18"/>
        </w:rPr>
      </w:pPr>
    </w:p>
    <w:p w14:paraId="182088A5" w14:textId="77777777" w:rsidR="000A434E" w:rsidRPr="00FA4BAB" w:rsidRDefault="000A434E" w:rsidP="000A434E">
      <w:pPr>
        <w:pStyle w:val="Default"/>
        <w:ind w:left="1440" w:hanging="360"/>
        <w:rPr>
          <w:rFonts w:ascii="Arial" w:hAnsi="Arial" w:cs="Arial"/>
          <w:sz w:val="18"/>
          <w:szCs w:val="18"/>
        </w:rPr>
      </w:pPr>
      <w:r w:rsidRPr="00FA4BAB">
        <w:rPr>
          <w:rFonts w:ascii="Arial" w:hAnsi="Arial" w:cs="Arial"/>
          <w:b/>
          <w:bCs/>
          <w:sz w:val="18"/>
          <w:szCs w:val="18"/>
        </w:rPr>
        <w:t xml:space="preserve">d. ADVERSE REACTIONS: </w:t>
      </w:r>
    </w:p>
    <w:p w14:paraId="3326F231" w14:textId="77777777" w:rsidR="000A434E" w:rsidRPr="00FA4BAB" w:rsidRDefault="000A434E" w:rsidP="000A434E">
      <w:pPr>
        <w:pStyle w:val="Default"/>
        <w:rPr>
          <w:rFonts w:ascii="Arial" w:hAnsi="Arial" w:cs="Arial"/>
          <w:sz w:val="18"/>
          <w:szCs w:val="18"/>
        </w:rPr>
      </w:pPr>
    </w:p>
    <w:p w14:paraId="782620E2" w14:textId="77777777" w:rsidR="000A434E" w:rsidRPr="00FA4BAB" w:rsidRDefault="000A434E" w:rsidP="000A434E">
      <w:pPr>
        <w:pStyle w:val="Default"/>
        <w:rPr>
          <w:rFonts w:ascii="Arial" w:hAnsi="Arial" w:cs="Arial"/>
          <w:sz w:val="18"/>
          <w:szCs w:val="18"/>
        </w:rPr>
      </w:pPr>
      <w:r w:rsidRPr="00FA4BAB">
        <w:rPr>
          <w:rFonts w:ascii="Arial" w:hAnsi="Arial" w:cs="Arial"/>
          <w:sz w:val="18"/>
          <w:szCs w:val="18"/>
        </w:rPr>
        <w:t xml:space="preserve">Content must address, at a minimum, the adverse reactions listed below and include factors which may influence adverse reactions (dosage form, route of administration, cannabinoid profile, patient comorbidities, or any other factors). </w:t>
      </w:r>
    </w:p>
    <w:p w14:paraId="69C86B32" w14:textId="77777777" w:rsidR="000A434E" w:rsidRPr="00FA4BAB" w:rsidRDefault="000A434E" w:rsidP="000A434E">
      <w:pPr>
        <w:pStyle w:val="Default"/>
        <w:ind w:left="2160" w:hanging="180"/>
        <w:rPr>
          <w:rFonts w:ascii="Arial" w:hAnsi="Arial" w:cs="Arial"/>
          <w:sz w:val="18"/>
          <w:szCs w:val="18"/>
        </w:rPr>
      </w:pPr>
      <w:proofErr w:type="spellStart"/>
      <w:r w:rsidRPr="00FA4BAB">
        <w:rPr>
          <w:rFonts w:ascii="Arial" w:hAnsi="Arial" w:cs="Arial"/>
          <w:sz w:val="18"/>
          <w:szCs w:val="18"/>
        </w:rPr>
        <w:t>i</w:t>
      </w:r>
      <w:proofErr w:type="spellEnd"/>
      <w:r w:rsidRPr="00FA4BAB">
        <w:rPr>
          <w:rFonts w:ascii="Arial" w:hAnsi="Arial" w:cs="Arial"/>
          <w:sz w:val="18"/>
          <w:szCs w:val="18"/>
        </w:rPr>
        <w:t xml:space="preserve">. Cardiovascular </w:t>
      </w:r>
    </w:p>
    <w:p w14:paraId="48C548FC" w14:textId="77777777" w:rsidR="000A434E" w:rsidRPr="00FA4BAB" w:rsidRDefault="000A434E" w:rsidP="000A434E">
      <w:pPr>
        <w:pStyle w:val="Default"/>
        <w:rPr>
          <w:rFonts w:ascii="Arial" w:hAnsi="Arial" w:cs="Arial"/>
          <w:sz w:val="18"/>
          <w:szCs w:val="18"/>
        </w:rPr>
      </w:pPr>
    </w:p>
    <w:p w14:paraId="538DD3FF" w14:textId="77777777" w:rsidR="000A434E" w:rsidRPr="00FA4BAB" w:rsidRDefault="000A434E" w:rsidP="000A434E">
      <w:pPr>
        <w:pStyle w:val="Default"/>
        <w:ind w:left="2160"/>
        <w:rPr>
          <w:rFonts w:ascii="Arial" w:hAnsi="Arial" w:cs="Arial"/>
          <w:sz w:val="18"/>
          <w:szCs w:val="18"/>
        </w:rPr>
      </w:pPr>
      <w:r w:rsidRPr="00FA4BAB">
        <w:rPr>
          <w:rFonts w:ascii="Arial" w:hAnsi="Arial" w:cs="Arial"/>
          <w:sz w:val="18"/>
          <w:szCs w:val="18"/>
        </w:rPr>
        <w:t xml:space="preserve">Tachycardia, palpitations, hypertension </w:t>
      </w:r>
    </w:p>
    <w:p w14:paraId="030ABF6C"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ii. Respiratory </w:t>
      </w:r>
    </w:p>
    <w:p w14:paraId="4E5E4748" w14:textId="77777777" w:rsidR="000A434E" w:rsidRPr="00FA4BAB" w:rsidRDefault="000A434E" w:rsidP="000A434E">
      <w:pPr>
        <w:pStyle w:val="Default"/>
        <w:rPr>
          <w:rFonts w:ascii="Arial" w:hAnsi="Arial" w:cs="Arial"/>
          <w:sz w:val="18"/>
          <w:szCs w:val="18"/>
        </w:rPr>
      </w:pPr>
    </w:p>
    <w:p w14:paraId="11E18614" w14:textId="77777777" w:rsidR="000A434E" w:rsidRPr="00FA4BAB" w:rsidRDefault="000A434E" w:rsidP="000A434E">
      <w:pPr>
        <w:pStyle w:val="Default"/>
        <w:ind w:left="2160"/>
        <w:rPr>
          <w:rFonts w:ascii="Arial" w:hAnsi="Arial" w:cs="Arial"/>
          <w:sz w:val="18"/>
          <w:szCs w:val="18"/>
        </w:rPr>
      </w:pPr>
      <w:r w:rsidRPr="00FA4BAB">
        <w:rPr>
          <w:rFonts w:ascii="Arial" w:hAnsi="Arial" w:cs="Arial"/>
          <w:sz w:val="18"/>
          <w:szCs w:val="18"/>
        </w:rPr>
        <w:t xml:space="preserve">Coughing, wheezing, sputum production </w:t>
      </w:r>
    </w:p>
    <w:p w14:paraId="13E16D7B"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iii. Central Nervous System </w:t>
      </w:r>
    </w:p>
    <w:p w14:paraId="4A31D4B6" w14:textId="77777777" w:rsidR="000A434E" w:rsidRPr="00FA4BAB" w:rsidRDefault="000A434E" w:rsidP="000A434E">
      <w:pPr>
        <w:pStyle w:val="Default"/>
        <w:rPr>
          <w:rFonts w:ascii="Arial" w:hAnsi="Arial" w:cs="Arial"/>
          <w:sz w:val="18"/>
          <w:szCs w:val="18"/>
        </w:rPr>
      </w:pPr>
    </w:p>
    <w:p w14:paraId="74BA1977" w14:textId="77777777" w:rsidR="000A434E" w:rsidRPr="00FA4BAB" w:rsidRDefault="000A434E" w:rsidP="000A434E">
      <w:pPr>
        <w:pStyle w:val="Default"/>
        <w:ind w:left="2160"/>
        <w:rPr>
          <w:rFonts w:ascii="Arial" w:hAnsi="Arial" w:cs="Arial"/>
          <w:sz w:val="18"/>
          <w:szCs w:val="18"/>
        </w:rPr>
      </w:pPr>
      <w:r w:rsidRPr="00FA4BAB">
        <w:rPr>
          <w:rFonts w:ascii="Arial" w:hAnsi="Arial" w:cs="Arial"/>
          <w:sz w:val="18"/>
          <w:szCs w:val="18"/>
        </w:rPr>
        <w:t xml:space="preserve">Lethargy, sedation, dizziness, slowed reaction time </w:t>
      </w:r>
    </w:p>
    <w:p w14:paraId="226FD1C9"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iv. Psychological </w:t>
      </w:r>
    </w:p>
    <w:p w14:paraId="36CFC0B2" w14:textId="77777777" w:rsidR="000A434E" w:rsidRPr="00FA4BAB" w:rsidRDefault="000A434E" w:rsidP="000A434E">
      <w:pPr>
        <w:pStyle w:val="Default"/>
        <w:rPr>
          <w:rFonts w:ascii="Arial" w:hAnsi="Arial" w:cs="Arial"/>
          <w:sz w:val="18"/>
          <w:szCs w:val="18"/>
        </w:rPr>
      </w:pPr>
    </w:p>
    <w:p w14:paraId="5B203ABD" w14:textId="77777777" w:rsidR="000A434E" w:rsidRPr="00FA4BAB" w:rsidRDefault="000A434E" w:rsidP="000A434E">
      <w:pPr>
        <w:pStyle w:val="Default"/>
        <w:ind w:left="2160"/>
        <w:rPr>
          <w:rFonts w:ascii="Arial" w:hAnsi="Arial" w:cs="Arial"/>
          <w:sz w:val="18"/>
          <w:szCs w:val="18"/>
        </w:rPr>
      </w:pPr>
      <w:r w:rsidRPr="00FA4BAB">
        <w:rPr>
          <w:rFonts w:ascii="Arial" w:hAnsi="Arial" w:cs="Arial"/>
          <w:sz w:val="18"/>
          <w:szCs w:val="18"/>
        </w:rPr>
        <w:t xml:space="preserve">Impaired coordination, memory formation, recollection, focus </w:t>
      </w:r>
    </w:p>
    <w:p w14:paraId="7E7A48D6"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v. Visual Disturbances </w:t>
      </w:r>
    </w:p>
    <w:p w14:paraId="34493453" w14:textId="77777777" w:rsidR="000A434E" w:rsidRPr="00FA4BAB" w:rsidRDefault="000A434E" w:rsidP="000A434E">
      <w:pPr>
        <w:pStyle w:val="Default"/>
        <w:ind w:left="2160" w:hanging="180"/>
        <w:rPr>
          <w:rFonts w:ascii="Arial" w:hAnsi="Arial" w:cs="Arial"/>
          <w:sz w:val="18"/>
          <w:szCs w:val="18"/>
        </w:rPr>
      </w:pPr>
      <w:proofErr w:type="gramStart"/>
      <w:r w:rsidRPr="00FA4BAB">
        <w:rPr>
          <w:rFonts w:ascii="Arial" w:hAnsi="Arial" w:cs="Arial"/>
          <w:sz w:val="18"/>
          <w:szCs w:val="18"/>
        </w:rPr>
        <w:t>vi</w:t>
      </w:r>
      <w:proofErr w:type="gramEnd"/>
      <w:r w:rsidRPr="00FA4BAB">
        <w:rPr>
          <w:rFonts w:ascii="Arial" w:hAnsi="Arial" w:cs="Arial"/>
          <w:sz w:val="18"/>
          <w:szCs w:val="18"/>
        </w:rPr>
        <w:t xml:space="preserve">. Cannabis Hyperemesis Syndrome </w:t>
      </w:r>
    </w:p>
    <w:p w14:paraId="77693448" w14:textId="77777777" w:rsidR="000A434E" w:rsidRPr="00FA4BAB" w:rsidRDefault="000A434E" w:rsidP="000A434E">
      <w:pPr>
        <w:pStyle w:val="Default"/>
        <w:rPr>
          <w:rFonts w:ascii="Arial" w:hAnsi="Arial" w:cs="Arial"/>
          <w:sz w:val="18"/>
          <w:szCs w:val="18"/>
        </w:rPr>
      </w:pPr>
    </w:p>
    <w:p w14:paraId="1A07B016"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b/>
          <w:bCs/>
          <w:sz w:val="18"/>
          <w:szCs w:val="18"/>
        </w:rPr>
        <w:t xml:space="preserve">e. DRUG INTERACTIONS: </w:t>
      </w:r>
      <w:proofErr w:type="spellStart"/>
      <w:r w:rsidRPr="00FA4BAB">
        <w:rPr>
          <w:rFonts w:ascii="Arial" w:hAnsi="Arial" w:cs="Arial"/>
          <w:sz w:val="18"/>
          <w:szCs w:val="18"/>
        </w:rPr>
        <w:t>i</w:t>
      </w:r>
      <w:proofErr w:type="spellEnd"/>
      <w:r w:rsidRPr="00FA4BAB">
        <w:rPr>
          <w:rFonts w:ascii="Arial" w:hAnsi="Arial" w:cs="Arial"/>
          <w:sz w:val="18"/>
          <w:szCs w:val="18"/>
        </w:rPr>
        <w:t xml:space="preserve">. Substrates </w:t>
      </w:r>
    </w:p>
    <w:p w14:paraId="33FAEE45"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ii. Inhibitors </w:t>
      </w:r>
    </w:p>
    <w:p w14:paraId="3C93A256"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iii. Inducers </w:t>
      </w:r>
    </w:p>
    <w:p w14:paraId="06C78BD9" w14:textId="77777777" w:rsidR="000A434E" w:rsidRPr="00FA4BAB" w:rsidRDefault="000A434E" w:rsidP="000A434E">
      <w:pPr>
        <w:pStyle w:val="Default"/>
        <w:ind w:left="2160" w:hanging="180"/>
        <w:rPr>
          <w:rFonts w:ascii="Arial" w:hAnsi="Arial" w:cs="Arial"/>
          <w:sz w:val="18"/>
          <w:szCs w:val="18"/>
        </w:rPr>
      </w:pPr>
    </w:p>
    <w:p w14:paraId="304CA5B3" w14:textId="77777777" w:rsidR="000A434E" w:rsidRPr="00FA4BAB" w:rsidRDefault="000A434E" w:rsidP="000A434E">
      <w:pPr>
        <w:pStyle w:val="Default"/>
        <w:rPr>
          <w:rFonts w:ascii="Arial" w:hAnsi="Arial" w:cs="Arial"/>
          <w:sz w:val="18"/>
          <w:szCs w:val="18"/>
        </w:rPr>
      </w:pPr>
    </w:p>
    <w:p w14:paraId="077DA1C4" w14:textId="77777777" w:rsidR="000A434E" w:rsidRPr="00FA4BAB" w:rsidRDefault="000A434E" w:rsidP="000A434E">
      <w:pPr>
        <w:pStyle w:val="Default"/>
        <w:ind w:left="1440" w:hanging="360"/>
        <w:rPr>
          <w:rFonts w:ascii="Arial" w:hAnsi="Arial" w:cs="Arial"/>
          <w:sz w:val="18"/>
          <w:szCs w:val="18"/>
        </w:rPr>
      </w:pPr>
      <w:r w:rsidRPr="00FA4BAB">
        <w:rPr>
          <w:rFonts w:ascii="Arial" w:hAnsi="Arial" w:cs="Arial"/>
          <w:b/>
          <w:bCs/>
          <w:sz w:val="18"/>
          <w:szCs w:val="18"/>
        </w:rPr>
        <w:t xml:space="preserve">f. OVERDOSE PREVENTION: </w:t>
      </w:r>
    </w:p>
    <w:p w14:paraId="79B39898" w14:textId="77777777" w:rsidR="000A434E" w:rsidRPr="00FA4BAB" w:rsidRDefault="000A434E" w:rsidP="000A434E">
      <w:pPr>
        <w:pStyle w:val="Default"/>
        <w:rPr>
          <w:rFonts w:ascii="Arial" w:hAnsi="Arial" w:cs="Arial"/>
          <w:sz w:val="18"/>
          <w:szCs w:val="18"/>
        </w:rPr>
      </w:pPr>
    </w:p>
    <w:p w14:paraId="79F1E87D" w14:textId="77777777" w:rsidR="000A434E" w:rsidRPr="00FA4BAB" w:rsidRDefault="000A434E" w:rsidP="000A434E">
      <w:pPr>
        <w:pStyle w:val="Default"/>
        <w:ind w:left="1440"/>
        <w:rPr>
          <w:rFonts w:ascii="Arial" w:hAnsi="Arial" w:cs="Arial"/>
          <w:sz w:val="18"/>
          <w:szCs w:val="18"/>
        </w:rPr>
      </w:pPr>
      <w:r w:rsidRPr="00FA4BAB">
        <w:rPr>
          <w:rFonts w:ascii="Arial" w:hAnsi="Arial" w:cs="Arial"/>
          <w:sz w:val="18"/>
          <w:szCs w:val="18"/>
        </w:rPr>
        <w:t xml:space="preserve">At a minimum, the topics listed below must be addressed. </w:t>
      </w:r>
    </w:p>
    <w:p w14:paraId="50710B8E" w14:textId="77777777" w:rsidR="000A434E" w:rsidRPr="00FA4BAB" w:rsidRDefault="000A434E" w:rsidP="000A434E">
      <w:pPr>
        <w:pStyle w:val="Default"/>
        <w:ind w:left="2160" w:hanging="180"/>
        <w:rPr>
          <w:rFonts w:ascii="Arial" w:hAnsi="Arial" w:cs="Arial"/>
          <w:sz w:val="18"/>
          <w:szCs w:val="18"/>
        </w:rPr>
      </w:pPr>
      <w:proofErr w:type="spellStart"/>
      <w:r w:rsidRPr="00FA4BAB">
        <w:rPr>
          <w:rFonts w:ascii="Arial" w:hAnsi="Arial" w:cs="Arial"/>
          <w:sz w:val="18"/>
          <w:szCs w:val="18"/>
        </w:rPr>
        <w:t>i</w:t>
      </w:r>
      <w:proofErr w:type="spellEnd"/>
      <w:r w:rsidRPr="00FA4BAB">
        <w:rPr>
          <w:rFonts w:ascii="Arial" w:hAnsi="Arial" w:cs="Arial"/>
          <w:sz w:val="18"/>
          <w:szCs w:val="18"/>
        </w:rPr>
        <w:t xml:space="preserve">. Onset of action with various dosage forms and when to repeat a dosage </w:t>
      </w:r>
    </w:p>
    <w:p w14:paraId="1BD52213" w14:textId="77777777" w:rsidR="000A434E" w:rsidRPr="00FA4BAB" w:rsidRDefault="000A434E" w:rsidP="000A434E">
      <w:pPr>
        <w:pStyle w:val="Default"/>
        <w:ind w:left="2160" w:hanging="180"/>
        <w:rPr>
          <w:rFonts w:ascii="Arial" w:hAnsi="Arial" w:cs="Arial"/>
          <w:sz w:val="18"/>
          <w:szCs w:val="18"/>
        </w:rPr>
      </w:pPr>
      <w:proofErr w:type="gramStart"/>
      <w:r w:rsidRPr="00FA4BAB">
        <w:rPr>
          <w:rFonts w:ascii="Arial" w:hAnsi="Arial" w:cs="Arial"/>
          <w:sz w:val="18"/>
          <w:szCs w:val="18"/>
        </w:rPr>
        <w:t>ii</w:t>
      </w:r>
      <w:proofErr w:type="gramEnd"/>
      <w:r w:rsidRPr="00FA4BAB">
        <w:rPr>
          <w:rFonts w:ascii="Arial" w:hAnsi="Arial" w:cs="Arial"/>
          <w:sz w:val="18"/>
          <w:szCs w:val="18"/>
        </w:rPr>
        <w:t xml:space="preserve">. Maintain medical marijuana products in the packaging in which they were dispensed </w:t>
      </w:r>
    </w:p>
    <w:p w14:paraId="5A89046C"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iii. Store medical marijuana products securely and keep out of reach of children </w:t>
      </w:r>
    </w:p>
    <w:p w14:paraId="557B950D"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iv. Summarize risk factors and data related to overdose and consequences of an overdose, including with high tetrahydrocannabinol (THC) versus high </w:t>
      </w:r>
      <w:proofErr w:type="spellStart"/>
      <w:r w:rsidRPr="00FA4BAB">
        <w:rPr>
          <w:rFonts w:ascii="Arial" w:hAnsi="Arial" w:cs="Arial"/>
          <w:sz w:val="18"/>
          <w:szCs w:val="18"/>
        </w:rPr>
        <w:t>cannabidiol</w:t>
      </w:r>
      <w:proofErr w:type="spellEnd"/>
      <w:r w:rsidRPr="00FA4BAB">
        <w:rPr>
          <w:rFonts w:ascii="Arial" w:hAnsi="Arial" w:cs="Arial"/>
          <w:sz w:val="18"/>
          <w:szCs w:val="18"/>
        </w:rPr>
        <w:t xml:space="preserve"> (CBD) content strains </w:t>
      </w:r>
    </w:p>
    <w:p w14:paraId="0111EA32"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v. Provide information regarding median lethal dose </w:t>
      </w:r>
    </w:p>
    <w:p w14:paraId="275224CE" w14:textId="77777777" w:rsidR="000A434E" w:rsidRPr="00FA4BAB" w:rsidRDefault="000A434E" w:rsidP="000A434E">
      <w:pPr>
        <w:pStyle w:val="Default"/>
        <w:ind w:left="1440" w:hanging="360"/>
        <w:rPr>
          <w:rFonts w:ascii="Arial" w:hAnsi="Arial" w:cs="Arial"/>
          <w:sz w:val="18"/>
          <w:szCs w:val="18"/>
        </w:rPr>
      </w:pPr>
      <w:r w:rsidRPr="00FA4BAB">
        <w:rPr>
          <w:rFonts w:ascii="Arial" w:hAnsi="Arial" w:cs="Arial"/>
          <w:b/>
          <w:bCs/>
          <w:sz w:val="18"/>
          <w:szCs w:val="18"/>
        </w:rPr>
        <w:lastRenderedPageBreak/>
        <w:t xml:space="preserve">g. ROUTES OF ADMINISTRATION AND DOSING: </w:t>
      </w:r>
      <w:proofErr w:type="spellStart"/>
      <w:r w:rsidRPr="00FA4BAB">
        <w:rPr>
          <w:rFonts w:ascii="Arial" w:hAnsi="Arial" w:cs="Arial"/>
          <w:sz w:val="18"/>
          <w:szCs w:val="18"/>
        </w:rPr>
        <w:t>i</w:t>
      </w:r>
      <w:proofErr w:type="spellEnd"/>
      <w:r w:rsidRPr="00FA4BAB">
        <w:rPr>
          <w:rFonts w:ascii="Arial" w:hAnsi="Arial" w:cs="Arial"/>
          <w:sz w:val="18"/>
          <w:szCs w:val="18"/>
        </w:rPr>
        <w:t xml:space="preserve">. Describe the administration methods authorized in New York State. 1. Metered liquid or oil preparations </w:t>
      </w:r>
    </w:p>
    <w:p w14:paraId="155AC5DC"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2. Solid and semisolid preparations (e.g. capsules, chewable and effervescent tablets, lozenges) </w:t>
      </w:r>
    </w:p>
    <w:p w14:paraId="566551CA" w14:textId="77777777" w:rsidR="000A434E" w:rsidRPr="00FA4BAB" w:rsidRDefault="000A434E" w:rsidP="000A434E">
      <w:pPr>
        <w:pStyle w:val="Default"/>
        <w:ind w:left="2880" w:hanging="360"/>
        <w:rPr>
          <w:rFonts w:ascii="Arial" w:hAnsi="Arial" w:cs="Arial"/>
          <w:sz w:val="18"/>
          <w:szCs w:val="18"/>
        </w:rPr>
      </w:pPr>
      <w:r w:rsidRPr="00FA4BAB">
        <w:rPr>
          <w:rFonts w:ascii="Arial" w:hAnsi="Arial" w:cs="Arial"/>
          <w:sz w:val="18"/>
          <w:szCs w:val="18"/>
        </w:rPr>
        <w:t xml:space="preserve">3. Metered ground plant preparations </w:t>
      </w:r>
    </w:p>
    <w:p w14:paraId="07FF91CF" w14:textId="77777777" w:rsidR="000A434E" w:rsidRPr="00FA4BAB" w:rsidRDefault="000A434E" w:rsidP="000A434E">
      <w:pPr>
        <w:pStyle w:val="Default"/>
        <w:ind w:left="2880" w:hanging="360"/>
        <w:rPr>
          <w:rFonts w:ascii="Arial" w:hAnsi="Arial" w:cs="Arial"/>
          <w:sz w:val="18"/>
          <w:szCs w:val="18"/>
        </w:rPr>
      </w:pPr>
      <w:r w:rsidRPr="00FA4BAB">
        <w:rPr>
          <w:rFonts w:ascii="Arial" w:hAnsi="Arial" w:cs="Arial"/>
          <w:sz w:val="18"/>
          <w:szCs w:val="18"/>
        </w:rPr>
        <w:t>4. Topical forms and transdermal patches</w:t>
      </w:r>
    </w:p>
    <w:p w14:paraId="72895EB4" w14:textId="77777777" w:rsidR="000A434E" w:rsidRPr="00FA4BAB" w:rsidRDefault="000A434E" w:rsidP="000A434E">
      <w:pPr>
        <w:pStyle w:val="Default"/>
        <w:ind w:left="2880" w:hanging="360"/>
        <w:rPr>
          <w:rFonts w:ascii="Arial" w:hAnsi="Arial" w:cs="Arial"/>
          <w:sz w:val="18"/>
          <w:szCs w:val="18"/>
        </w:rPr>
      </w:pPr>
    </w:p>
    <w:p w14:paraId="1B031B8D" w14:textId="77777777" w:rsidR="000A434E" w:rsidRPr="00FA4BAB" w:rsidRDefault="000A434E" w:rsidP="000A434E">
      <w:pPr>
        <w:pStyle w:val="Default"/>
        <w:ind w:left="2880" w:hanging="360"/>
        <w:rPr>
          <w:rFonts w:ascii="Arial" w:hAnsi="Arial" w:cs="Arial"/>
          <w:sz w:val="18"/>
          <w:szCs w:val="18"/>
        </w:rPr>
      </w:pPr>
    </w:p>
    <w:p w14:paraId="6144A2F3" w14:textId="77777777" w:rsidR="000A434E" w:rsidRPr="00FA4BAB" w:rsidRDefault="000A434E" w:rsidP="000A434E">
      <w:pPr>
        <w:pStyle w:val="Default"/>
        <w:rPr>
          <w:rFonts w:ascii="Arial" w:hAnsi="Arial" w:cs="Arial"/>
          <w:sz w:val="18"/>
          <w:szCs w:val="18"/>
        </w:rPr>
      </w:pPr>
    </w:p>
    <w:p w14:paraId="212C1CFF" w14:textId="77777777" w:rsidR="000A434E" w:rsidRPr="00FA4BAB" w:rsidRDefault="000A434E" w:rsidP="000A434E">
      <w:pPr>
        <w:pStyle w:val="Default"/>
        <w:pageBreakBefore/>
        <w:rPr>
          <w:rFonts w:ascii="Arial" w:hAnsi="Arial" w:cs="Arial"/>
          <w:sz w:val="18"/>
          <w:szCs w:val="18"/>
        </w:rPr>
      </w:pPr>
    </w:p>
    <w:p w14:paraId="34611883" w14:textId="77777777" w:rsidR="000A434E" w:rsidRPr="00FA4BAB" w:rsidRDefault="000A434E" w:rsidP="000A434E">
      <w:pPr>
        <w:pStyle w:val="Default"/>
        <w:ind w:left="2880" w:hanging="360"/>
        <w:rPr>
          <w:rFonts w:ascii="Arial" w:hAnsi="Arial" w:cs="Arial"/>
          <w:sz w:val="18"/>
          <w:szCs w:val="18"/>
        </w:rPr>
      </w:pPr>
      <w:r w:rsidRPr="00FA4BAB">
        <w:rPr>
          <w:rFonts w:ascii="Arial" w:hAnsi="Arial" w:cs="Arial"/>
          <w:sz w:val="18"/>
          <w:szCs w:val="18"/>
        </w:rPr>
        <w:t xml:space="preserve">5. Medical cannabis may not be incorporated into food products by the registered organization, unless approved by the commissioner </w:t>
      </w:r>
    </w:p>
    <w:p w14:paraId="0BF62412" w14:textId="77777777" w:rsidR="000A434E" w:rsidRPr="00FA4BAB" w:rsidRDefault="000A434E" w:rsidP="000A434E">
      <w:pPr>
        <w:pStyle w:val="Default"/>
        <w:ind w:left="2880" w:hanging="360"/>
        <w:rPr>
          <w:rFonts w:ascii="Arial" w:hAnsi="Arial" w:cs="Arial"/>
          <w:sz w:val="18"/>
          <w:szCs w:val="18"/>
        </w:rPr>
      </w:pPr>
      <w:r w:rsidRPr="00FA4BAB">
        <w:rPr>
          <w:rFonts w:ascii="Arial" w:hAnsi="Arial" w:cs="Arial"/>
          <w:sz w:val="18"/>
          <w:szCs w:val="18"/>
        </w:rPr>
        <w:t xml:space="preserve">6. Smoking is not an approved route of administration </w:t>
      </w:r>
    </w:p>
    <w:p w14:paraId="7CD28F24" w14:textId="77777777" w:rsidR="000A434E" w:rsidRPr="00FA4BAB" w:rsidRDefault="000A434E" w:rsidP="000A434E">
      <w:pPr>
        <w:pStyle w:val="Default"/>
        <w:ind w:left="2880" w:hanging="360"/>
        <w:rPr>
          <w:rFonts w:ascii="Arial" w:hAnsi="Arial" w:cs="Arial"/>
          <w:sz w:val="18"/>
          <w:szCs w:val="18"/>
        </w:rPr>
      </w:pPr>
    </w:p>
    <w:p w14:paraId="34CA58A8" w14:textId="77777777" w:rsidR="000A434E" w:rsidRPr="00FA4BAB" w:rsidRDefault="000A434E" w:rsidP="000A434E">
      <w:pPr>
        <w:pStyle w:val="Default"/>
        <w:ind w:left="2880" w:hanging="360"/>
        <w:rPr>
          <w:rFonts w:ascii="Arial" w:hAnsi="Arial" w:cs="Arial"/>
          <w:sz w:val="18"/>
          <w:szCs w:val="18"/>
        </w:rPr>
      </w:pPr>
    </w:p>
    <w:p w14:paraId="51B7F32E" w14:textId="77777777" w:rsidR="000A434E" w:rsidRPr="00FA4BAB" w:rsidRDefault="000A434E" w:rsidP="000A434E">
      <w:pPr>
        <w:pStyle w:val="Default"/>
        <w:rPr>
          <w:rFonts w:ascii="Arial" w:hAnsi="Arial" w:cs="Arial"/>
          <w:sz w:val="18"/>
          <w:szCs w:val="18"/>
        </w:rPr>
      </w:pPr>
    </w:p>
    <w:p w14:paraId="18F916DC"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ii. Describe dosing strategies in cannabis naïve vs experienced cannabis users. </w:t>
      </w:r>
    </w:p>
    <w:p w14:paraId="26EEC606" w14:textId="77777777" w:rsidR="000A434E" w:rsidRPr="00FA4BAB" w:rsidRDefault="000A434E" w:rsidP="000A434E">
      <w:pPr>
        <w:pStyle w:val="Default"/>
        <w:rPr>
          <w:rFonts w:ascii="Arial" w:hAnsi="Arial" w:cs="Arial"/>
          <w:sz w:val="18"/>
          <w:szCs w:val="18"/>
        </w:rPr>
      </w:pPr>
    </w:p>
    <w:p w14:paraId="312F8E53"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iii. Dosing must include differences between dosage forms and routes of administration in dosing and effects, including onset and duration of action, and frequency of dosing. </w:t>
      </w:r>
    </w:p>
    <w:p w14:paraId="0873DE32" w14:textId="77777777" w:rsidR="000A434E" w:rsidRPr="00FA4BAB" w:rsidRDefault="000A434E" w:rsidP="000A434E">
      <w:pPr>
        <w:pStyle w:val="Default"/>
        <w:rPr>
          <w:rFonts w:ascii="Arial" w:hAnsi="Arial" w:cs="Arial"/>
          <w:sz w:val="18"/>
          <w:szCs w:val="18"/>
        </w:rPr>
      </w:pPr>
    </w:p>
    <w:p w14:paraId="601FE80C"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iv. At a minimum, dosing for the administration methods listed below must be addressed. </w:t>
      </w:r>
    </w:p>
    <w:p w14:paraId="431603EE" w14:textId="77777777" w:rsidR="000A434E" w:rsidRPr="00FA4BAB" w:rsidRDefault="000A434E" w:rsidP="000A434E">
      <w:pPr>
        <w:pStyle w:val="Default"/>
        <w:rPr>
          <w:rFonts w:ascii="Arial" w:hAnsi="Arial" w:cs="Arial"/>
          <w:sz w:val="18"/>
          <w:szCs w:val="18"/>
        </w:rPr>
      </w:pPr>
    </w:p>
    <w:p w14:paraId="3EA186B2" w14:textId="77777777" w:rsidR="000A434E" w:rsidRPr="00FA4BAB" w:rsidRDefault="000A434E" w:rsidP="000A434E">
      <w:pPr>
        <w:pStyle w:val="Default"/>
        <w:ind w:left="2880" w:hanging="360"/>
        <w:rPr>
          <w:rFonts w:ascii="Arial" w:hAnsi="Arial" w:cs="Arial"/>
          <w:sz w:val="18"/>
          <w:szCs w:val="18"/>
        </w:rPr>
      </w:pPr>
      <w:r w:rsidRPr="00FA4BAB">
        <w:rPr>
          <w:rFonts w:ascii="Arial" w:hAnsi="Arial" w:cs="Arial"/>
          <w:sz w:val="18"/>
          <w:szCs w:val="18"/>
        </w:rPr>
        <w:t xml:space="preserve">1. Vaporization </w:t>
      </w:r>
    </w:p>
    <w:p w14:paraId="55B92E35" w14:textId="77777777" w:rsidR="000A434E" w:rsidRPr="00FA4BAB" w:rsidRDefault="000A434E" w:rsidP="000A434E">
      <w:pPr>
        <w:pStyle w:val="Default"/>
        <w:ind w:left="2880" w:hanging="360"/>
        <w:rPr>
          <w:rFonts w:ascii="Arial" w:hAnsi="Arial" w:cs="Arial"/>
          <w:sz w:val="18"/>
          <w:szCs w:val="18"/>
        </w:rPr>
      </w:pPr>
      <w:r w:rsidRPr="00FA4BAB">
        <w:rPr>
          <w:rFonts w:ascii="Arial" w:hAnsi="Arial" w:cs="Arial"/>
          <w:sz w:val="18"/>
          <w:szCs w:val="18"/>
        </w:rPr>
        <w:t xml:space="preserve">2. </w:t>
      </w:r>
      <w:proofErr w:type="spellStart"/>
      <w:r w:rsidRPr="00FA4BAB">
        <w:rPr>
          <w:rFonts w:ascii="Arial" w:hAnsi="Arial" w:cs="Arial"/>
          <w:sz w:val="18"/>
          <w:szCs w:val="18"/>
        </w:rPr>
        <w:t>Oromucosal</w:t>
      </w:r>
      <w:proofErr w:type="spellEnd"/>
      <w:r w:rsidRPr="00FA4BAB">
        <w:rPr>
          <w:rFonts w:ascii="Arial" w:hAnsi="Arial" w:cs="Arial"/>
          <w:sz w:val="18"/>
          <w:szCs w:val="18"/>
        </w:rPr>
        <w:t xml:space="preserve"> preparations (e.g. tinctures, sprays) </w:t>
      </w:r>
    </w:p>
    <w:p w14:paraId="3C2E9566" w14:textId="77777777" w:rsidR="000A434E" w:rsidRPr="00FA4BAB" w:rsidRDefault="000A434E" w:rsidP="000A434E">
      <w:pPr>
        <w:pStyle w:val="Default"/>
        <w:ind w:left="2880" w:hanging="360"/>
        <w:rPr>
          <w:rFonts w:ascii="Arial" w:hAnsi="Arial" w:cs="Arial"/>
          <w:sz w:val="18"/>
          <w:szCs w:val="18"/>
        </w:rPr>
      </w:pPr>
      <w:r w:rsidRPr="00FA4BAB">
        <w:rPr>
          <w:rFonts w:ascii="Arial" w:hAnsi="Arial" w:cs="Arial"/>
          <w:sz w:val="18"/>
          <w:szCs w:val="18"/>
        </w:rPr>
        <w:t xml:space="preserve">3. Oral Solid Dosage Forms (e.g. capsules, tablets) </w:t>
      </w:r>
    </w:p>
    <w:p w14:paraId="62264457" w14:textId="77777777" w:rsidR="000A434E" w:rsidRPr="00FA4BAB" w:rsidRDefault="000A434E" w:rsidP="000A434E">
      <w:pPr>
        <w:pStyle w:val="Default"/>
        <w:ind w:left="2880" w:hanging="360"/>
        <w:rPr>
          <w:rFonts w:ascii="Arial" w:hAnsi="Arial" w:cs="Arial"/>
          <w:sz w:val="18"/>
          <w:szCs w:val="18"/>
        </w:rPr>
      </w:pPr>
      <w:r w:rsidRPr="00FA4BAB">
        <w:rPr>
          <w:sz w:val="18"/>
          <w:szCs w:val="18"/>
        </w:rPr>
        <w:t xml:space="preserve">4. </w:t>
      </w:r>
      <w:r w:rsidRPr="00FA4BAB">
        <w:rPr>
          <w:rFonts w:ascii="Arial" w:hAnsi="Arial" w:cs="Arial"/>
          <w:sz w:val="18"/>
          <w:szCs w:val="18"/>
        </w:rPr>
        <w:t xml:space="preserve">Topical Preparations (e.g. creams, lotions, oils, patches, salves) </w:t>
      </w:r>
    </w:p>
    <w:p w14:paraId="7118B916" w14:textId="77777777" w:rsidR="000A434E" w:rsidRPr="00FA4BAB" w:rsidRDefault="000A434E" w:rsidP="000A434E">
      <w:pPr>
        <w:pStyle w:val="Default"/>
        <w:rPr>
          <w:rFonts w:ascii="Arial" w:hAnsi="Arial" w:cs="Arial"/>
          <w:sz w:val="18"/>
          <w:szCs w:val="18"/>
        </w:rPr>
      </w:pPr>
    </w:p>
    <w:p w14:paraId="5C816804" w14:textId="77777777" w:rsidR="000A434E" w:rsidRPr="00FA4BAB" w:rsidRDefault="000A434E" w:rsidP="000A434E">
      <w:pPr>
        <w:pStyle w:val="Default"/>
        <w:ind w:left="1440"/>
        <w:rPr>
          <w:rFonts w:ascii="Arial" w:hAnsi="Arial" w:cs="Arial"/>
          <w:sz w:val="18"/>
          <w:szCs w:val="18"/>
        </w:rPr>
      </w:pPr>
      <w:r w:rsidRPr="00FA4BAB">
        <w:rPr>
          <w:rFonts w:ascii="Arial" w:hAnsi="Arial" w:cs="Arial"/>
          <w:sz w:val="18"/>
          <w:szCs w:val="18"/>
        </w:rPr>
        <w:t xml:space="preserve">NOTE: Any content on dosing or administration methods that are prohibited in New York State must explicitly state that the administration method or form is prohibited in New York State. </w:t>
      </w:r>
    </w:p>
    <w:p w14:paraId="6B80585D" w14:textId="77777777" w:rsidR="000A434E" w:rsidRPr="00FA4BAB" w:rsidRDefault="000A434E" w:rsidP="000A434E">
      <w:pPr>
        <w:pStyle w:val="Default"/>
        <w:ind w:left="1440" w:hanging="360"/>
        <w:rPr>
          <w:rFonts w:ascii="Arial" w:hAnsi="Arial" w:cs="Arial"/>
          <w:sz w:val="18"/>
          <w:szCs w:val="18"/>
        </w:rPr>
      </w:pPr>
      <w:r w:rsidRPr="00FA4BAB">
        <w:rPr>
          <w:rFonts w:ascii="Arial" w:hAnsi="Arial" w:cs="Arial"/>
          <w:b/>
          <w:bCs/>
          <w:sz w:val="18"/>
          <w:szCs w:val="18"/>
        </w:rPr>
        <w:t xml:space="preserve">h. RISKS AND BENEFITS: </w:t>
      </w:r>
    </w:p>
    <w:p w14:paraId="35CACBBE" w14:textId="77777777" w:rsidR="000A434E" w:rsidRPr="00FA4BAB" w:rsidRDefault="000A434E" w:rsidP="000A434E">
      <w:pPr>
        <w:pStyle w:val="Default"/>
        <w:rPr>
          <w:rFonts w:ascii="Arial" w:hAnsi="Arial" w:cs="Arial"/>
          <w:sz w:val="18"/>
          <w:szCs w:val="18"/>
        </w:rPr>
      </w:pPr>
    </w:p>
    <w:p w14:paraId="3FF6F77D" w14:textId="77777777" w:rsidR="000A434E" w:rsidRPr="00FA4BAB" w:rsidRDefault="000A434E" w:rsidP="000A434E">
      <w:pPr>
        <w:pStyle w:val="Default"/>
        <w:ind w:left="1440"/>
        <w:rPr>
          <w:rFonts w:ascii="Arial" w:hAnsi="Arial" w:cs="Arial"/>
          <w:sz w:val="18"/>
          <w:szCs w:val="18"/>
        </w:rPr>
      </w:pPr>
      <w:r w:rsidRPr="00FA4BAB">
        <w:rPr>
          <w:rFonts w:ascii="Arial" w:hAnsi="Arial" w:cs="Arial"/>
          <w:sz w:val="18"/>
          <w:szCs w:val="18"/>
        </w:rPr>
        <w:t xml:space="preserve">Explain factors to consider when weighing risks of medical marijuana versus benefits of medical marijuana for a patient, including, but not limited to, the factors listed below. </w:t>
      </w:r>
    </w:p>
    <w:p w14:paraId="00814A7C" w14:textId="77777777" w:rsidR="000A434E" w:rsidRPr="00FA4BAB" w:rsidRDefault="000A434E" w:rsidP="000A434E">
      <w:pPr>
        <w:pStyle w:val="Default"/>
        <w:ind w:left="2160" w:hanging="180"/>
        <w:rPr>
          <w:rFonts w:ascii="Arial" w:hAnsi="Arial" w:cs="Arial"/>
          <w:sz w:val="18"/>
          <w:szCs w:val="18"/>
        </w:rPr>
      </w:pPr>
      <w:proofErr w:type="spellStart"/>
      <w:r w:rsidRPr="00FA4BAB">
        <w:rPr>
          <w:rFonts w:ascii="Arial" w:hAnsi="Arial" w:cs="Arial"/>
          <w:sz w:val="18"/>
          <w:szCs w:val="18"/>
        </w:rPr>
        <w:t>i</w:t>
      </w:r>
      <w:proofErr w:type="spellEnd"/>
      <w:r w:rsidRPr="00FA4BAB">
        <w:rPr>
          <w:rFonts w:ascii="Arial" w:hAnsi="Arial" w:cs="Arial"/>
          <w:sz w:val="18"/>
          <w:szCs w:val="18"/>
        </w:rPr>
        <w:t xml:space="preserve">. Patient’s condition and comorbidities </w:t>
      </w:r>
    </w:p>
    <w:p w14:paraId="7B1322E0"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ii. Patient’s age </w:t>
      </w:r>
    </w:p>
    <w:p w14:paraId="282DF58C"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iii. Co-administration of other drugs/medicine </w:t>
      </w:r>
    </w:p>
    <w:p w14:paraId="0631B8C8" w14:textId="77777777" w:rsidR="000A434E" w:rsidRPr="00FA4BAB" w:rsidRDefault="000A434E" w:rsidP="000A434E">
      <w:pPr>
        <w:pStyle w:val="Default"/>
        <w:rPr>
          <w:rFonts w:ascii="Arial" w:hAnsi="Arial" w:cs="Arial"/>
          <w:sz w:val="18"/>
          <w:szCs w:val="18"/>
        </w:rPr>
      </w:pPr>
    </w:p>
    <w:p w14:paraId="3C8A779F" w14:textId="77777777" w:rsidR="000A434E" w:rsidRPr="00FA4BAB" w:rsidRDefault="000A434E" w:rsidP="000A434E">
      <w:pPr>
        <w:pStyle w:val="Default"/>
        <w:ind w:left="1440" w:hanging="360"/>
        <w:rPr>
          <w:rFonts w:ascii="Arial" w:hAnsi="Arial" w:cs="Arial"/>
          <w:sz w:val="18"/>
          <w:szCs w:val="18"/>
        </w:rPr>
      </w:pPr>
      <w:proofErr w:type="spellStart"/>
      <w:r w:rsidRPr="00FA4BAB">
        <w:rPr>
          <w:rFonts w:ascii="Arial" w:hAnsi="Arial" w:cs="Arial"/>
          <w:b/>
          <w:bCs/>
          <w:sz w:val="18"/>
          <w:szCs w:val="18"/>
        </w:rPr>
        <w:t>i</w:t>
      </w:r>
      <w:proofErr w:type="spellEnd"/>
      <w:r w:rsidRPr="00FA4BAB">
        <w:rPr>
          <w:rFonts w:ascii="Arial" w:hAnsi="Arial" w:cs="Arial"/>
          <w:b/>
          <w:bCs/>
          <w:sz w:val="18"/>
          <w:szCs w:val="18"/>
        </w:rPr>
        <w:t xml:space="preserve">. WARNINGS AND PRECAUTIONS: </w:t>
      </w:r>
    </w:p>
    <w:p w14:paraId="271BD39F" w14:textId="77777777" w:rsidR="000A434E" w:rsidRPr="00FA4BAB" w:rsidRDefault="000A434E" w:rsidP="000A434E">
      <w:pPr>
        <w:pStyle w:val="Default"/>
        <w:rPr>
          <w:rFonts w:ascii="Arial" w:hAnsi="Arial" w:cs="Arial"/>
          <w:sz w:val="18"/>
          <w:szCs w:val="18"/>
        </w:rPr>
      </w:pPr>
    </w:p>
    <w:p w14:paraId="719251D3" w14:textId="77777777" w:rsidR="000A434E" w:rsidRPr="00FA4BAB" w:rsidRDefault="000A434E" w:rsidP="000A434E">
      <w:pPr>
        <w:pStyle w:val="Default"/>
        <w:ind w:left="1440"/>
        <w:rPr>
          <w:rFonts w:ascii="Arial" w:hAnsi="Arial" w:cs="Arial"/>
          <w:sz w:val="18"/>
          <w:szCs w:val="18"/>
        </w:rPr>
      </w:pPr>
      <w:r w:rsidRPr="00FA4BAB">
        <w:rPr>
          <w:rFonts w:ascii="Arial" w:hAnsi="Arial" w:cs="Arial"/>
          <w:sz w:val="18"/>
          <w:szCs w:val="18"/>
        </w:rPr>
        <w:t xml:space="preserve">At a minimum, the warnings and precautions listed below must be addressed. </w:t>
      </w:r>
    </w:p>
    <w:p w14:paraId="155A0E68" w14:textId="77777777" w:rsidR="000A434E" w:rsidRPr="00FA4BAB" w:rsidRDefault="000A434E" w:rsidP="000A434E">
      <w:pPr>
        <w:pStyle w:val="Default"/>
        <w:ind w:left="2160" w:hanging="180"/>
        <w:rPr>
          <w:rFonts w:ascii="Arial" w:hAnsi="Arial" w:cs="Arial"/>
          <w:sz w:val="18"/>
          <w:szCs w:val="18"/>
        </w:rPr>
      </w:pPr>
      <w:proofErr w:type="spellStart"/>
      <w:r w:rsidRPr="00FA4BAB">
        <w:rPr>
          <w:rFonts w:ascii="Arial" w:hAnsi="Arial" w:cs="Arial"/>
          <w:sz w:val="18"/>
          <w:szCs w:val="18"/>
        </w:rPr>
        <w:t>i</w:t>
      </w:r>
      <w:proofErr w:type="spellEnd"/>
      <w:r w:rsidRPr="00FA4BAB">
        <w:rPr>
          <w:rFonts w:ascii="Arial" w:hAnsi="Arial" w:cs="Arial"/>
          <w:sz w:val="18"/>
          <w:szCs w:val="18"/>
        </w:rPr>
        <w:t>. Medical marijuana may impair the ability to drive</w:t>
      </w:r>
    </w:p>
    <w:p w14:paraId="3AE75DE9" w14:textId="77777777" w:rsidR="000A434E" w:rsidRPr="00FA4BAB" w:rsidRDefault="000A434E" w:rsidP="000A434E">
      <w:pPr>
        <w:pStyle w:val="Default"/>
        <w:rPr>
          <w:rFonts w:ascii="Arial" w:hAnsi="Arial" w:cs="Arial"/>
          <w:sz w:val="18"/>
          <w:szCs w:val="18"/>
        </w:rPr>
      </w:pPr>
    </w:p>
    <w:p w14:paraId="590A7AFA" w14:textId="47407C03" w:rsidR="000A434E" w:rsidRPr="00FA4BAB" w:rsidRDefault="000A434E" w:rsidP="000A434E">
      <w:pPr>
        <w:pStyle w:val="Default"/>
        <w:pageBreakBefore/>
        <w:rPr>
          <w:rFonts w:ascii="Arial" w:hAnsi="Arial" w:cs="Arial"/>
          <w:sz w:val="18"/>
          <w:szCs w:val="18"/>
        </w:rPr>
      </w:pPr>
    </w:p>
    <w:p w14:paraId="021C9FAB" w14:textId="77777777" w:rsidR="000A434E" w:rsidRPr="00FA4BAB" w:rsidRDefault="000A434E" w:rsidP="000A434E">
      <w:pPr>
        <w:pStyle w:val="Default"/>
        <w:ind w:left="2160" w:hanging="180"/>
        <w:rPr>
          <w:rFonts w:ascii="Arial" w:hAnsi="Arial" w:cs="Arial"/>
          <w:sz w:val="18"/>
          <w:szCs w:val="18"/>
        </w:rPr>
      </w:pPr>
      <w:proofErr w:type="gramStart"/>
      <w:r w:rsidRPr="00FA4BAB">
        <w:rPr>
          <w:rFonts w:ascii="Arial" w:hAnsi="Arial" w:cs="Arial"/>
          <w:sz w:val="18"/>
          <w:szCs w:val="18"/>
        </w:rPr>
        <w:t>ii</w:t>
      </w:r>
      <w:proofErr w:type="gramEnd"/>
      <w:r w:rsidRPr="00FA4BAB">
        <w:rPr>
          <w:rFonts w:ascii="Arial" w:hAnsi="Arial" w:cs="Arial"/>
          <w:sz w:val="18"/>
          <w:szCs w:val="18"/>
        </w:rPr>
        <w:t xml:space="preserve">. KEEP MEDICAL MARIJUANA PRODUCTS AWAY FROM CHILDREN (unless medical marijuana product is being given to the child under a practitioner’s care) </w:t>
      </w:r>
    </w:p>
    <w:p w14:paraId="1F26043E"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iii. Keep medical marijuana products in the original packaging in which they are dispensed to the patient </w:t>
      </w:r>
    </w:p>
    <w:p w14:paraId="107D7CF2" w14:textId="77777777" w:rsidR="000A434E" w:rsidRPr="00FA4BAB" w:rsidRDefault="000A434E" w:rsidP="000A434E">
      <w:pPr>
        <w:pStyle w:val="Default"/>
        <w:rPr>
          <w:rFonts w:ascii="Arial" w:hAnsi="Arial" w:cs="Arial"/>
          <w:sz w:val="18"/>
          <w:szCs w:val="18"/>
        </w:rPr>
      </w:pPr>
    </w:p>
    <w:p w14:paraId="392EFFCB"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b/>
          <w:bCs/>
          <w:sz w:val="18"/>
          <w:szCs w:val="18"/>
        </w:rPr>
        <w:t xml:space="preserve">j. ABUSE AND DEPENDENCE: </w:t>
      </w:r>
      <w:proofErr w:type="spellStart"/>
      <w:r w:rsidRPr="00FA4BAB">
        <w:rPr>
          <w:rFonts w:ascii="Arial" w:hAnsi="Arial" w:cs="Arial"/>
          <w:sz w:val="18"/>
          <w:szCs w:val="18"/>
        </w:rPr>
        <w:t>i</w:t>
      </w:r>
      <w:proofErr w:type="spellEnd"/>
      <w:r w:rsidRPr="00FA4BAB">
        <w:rPr>
          <w:rFonts w:ascii="Arial" w:hAnsi="Arial" w:cs="Arial"/>
          <w:sz w:val="18"/>
          <w:szCs w:val="18"/>
        </w:rPr>
        <w:t xml:space="preserve">. Address Cannabis Use Disorder and provide information on where patients can go for help, including, but not limited to contact information for the Office of Alcoholism and Substance Use Disorder (OASAS) in New York State </w:t>
      </w:r>
    </w:p>
    <w:p w14:paraId="5B17EB35" w14:textId="77777777" w:rsidR="000A434E" w:rsidRPr="00FA4BAB" w:rsidRDefault="000A434E" w:rsidP="000A434E">
      <w:pPr>
        <w:pStyle w:val="Default"/>
        <w:ind w:left="2160" w:hanging="180"/>
        <w:rPr>
          <w:rFonts w:ascii="Arial" w:hAnsi="Arial" w:cs="Arial"/>
          <w:sz w:val="18"/>
          <w:szCs w:val="18"/>
        </w:rPr>
      </w:pPr>
    </w:p>
    <w:p w14:paraId="3FA72FA3" w14:textId="77777777" w:rsidR="000A434E" w:rsidRPr="00FA4BAB" w:rsidRDefault="000A434E" w:rsidP="000A434E">
      <w:pPr>
        <w:pStyle w:val="Default"/>
        <w:rPr>
          <w:rFonts w:ascii="Arial" w:hAnsi="Arial" w:cs="Arial"/>
          <w:sz w:val="18"/>
          <w:szCs w:val="18"/>
        </w:rPr>
      </w:pPr>
    </w:p>
    <w:p w14:paraId="0BDB62D3" w14:textId="77777777" w:rsidR="000A434E" w:rsidRPr="00FA4BAB" w:rsidRDefault="000A434E" w:rsidP="000A434E">
      <w:pPr>
        <w:pStyle w:val="Default"/>
        <w:ind w:left="2160" w:hanging="180"/>
        <w:rPr>
          <w:rFonts w:ascii="Arial" w:hAnsi="Arial" w:cs="Arial"/>
          <w:sz w:val="18"/>
          <w:szCs w:val="18"/>
        </w:rPr>
      </w:pPr>
      <w:r w:rsidRPr="00FA4BAB">
        <w:rPr>
          <w:rFonts w:ascii="Arial" w:hAnsi="Arial" w:cs="Arial"/>
          <w:sz w:val="18"/>
          <w:szCs w:val="18"/>
        </w:rPr>
        <w:t xml:space="preserve">ii. Describe physical dependence, addiction and tolerance with medical marijuana </w:t>
      </w:r>
    </w:p>
    <w:p w14:paraId="7A6AEDA0" w14:textId="77777777" w:rsidR="000A434E" w:rsidRPr="00FA4BAB" w:rsidRDefault="000A434E" w:rsidP="000A434E">
      <w:pPr>
        <w:pStyle w:val="Default"/>
        <w:rPr>
          <w:rFonts w:ascii="Arial" w:hAnsi="Arial" w:cs="Arial"/>
          <w:sz w:val="18"/>
          <w:szCs w:val="18"/>
        </w:rPr>
      </w:pPr>
    </w:p>
    <w:p w14:paraId="732AFD12" w14:textId="662D9F3C" w:rsidR="00F075FE" w:rsidRPr="00FA4BAB" w:rsidRDefault="00EC0DD7" w:rsidP="000A434E">
      <w:pPr>
        <w:rPr>
          <w:sz w:val="18"/>
          <w:szCs w:val="18"/>
        </w:rPr>
      </w:pPr>
      <w:proofErr w:type="gramStart"/>
      <w:r w:rsidRPr="00FA4BAB">
        <w:rPr>
          <w:rFonts w:ascii="Arial" w:hAnsi="Arial" w:cs="Arial"/>
          <w:sz w:val="18"/>
          <w:szCs w:val="18"/>
        </w:rPr>
        <w:t>k</w:t>
      </w:r>
      <w:proofErr w:type="gramEnd"/>
      <w:r w:rsidRPr="00FA4BAB">
        <w:rPr>
          <w:rFonts w:ascii="Arial" w:hAnsi="Arial" w:cs="Arial"/>
          <w:sz w:val="18"/>
          <w:szCs w:val="18"/>
        </w:rPr>
        <w:t xml:space="preserve">. </w:t>
      </w:r>
      <w:r w:rsidRPr="00FA4BAB">
        <w:rPr>
          <w:rFonts w:asciiTheme="minorBidi" w:hAnsiTheme="minorBidi"/>
          <w:sz w:val="18"/>
          <w:szCs w:val="18"/>
        </w:rPr>
        <w:t>The New York State Medical Marijuana Program-  Guidelines that NYS provider should follow</w:t>
      </w:r>
    </w:p>
    <w:sectPr w:rsidR="00F075FE" w:rsidRPr="00FA4BAB" w:rsidSect="000C061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4E"/>
    <w:rsid w:val="000A434E"/>
    <w:rsid w:val="000C0615"/>
    <w:rsid w:val="00501CC1"/>
    <w:rsid w:val="00924D28"/>
    <w:rsid w:val="009C23B5"/>
    <w:rsid w:val="00C94BB0"/>
    <w:rsid w:val="00EC0DD7"/>
    <w:rsid w:val="00FA4B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8A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34E"/>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4</cp:revision>
  <dcterms:created xsi:type="dcterms:W3CDTF">2020-08-29T01:13:00Z</dcterms:created>
  <dcterms:modified xsi:type="dcterms:W3CDTF">2020-09-03T06:31:00Z</dcterms:modified>
</cp:coreProperties>
</file>