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00F7" w14:textId="77777777" w:rsidR="00C021C1" w:rsidRDefault="0044600D">
      <w:pPr>
        <w:pStyle w:val="Heading1"/>
      </w:pPr>
      <w:r>
        <w:t>PHE 101 Public Health Interventions Worksheet</w:t>
      </w:r>
    </w:p>
    <w:p w14:paraId="14CEF82C" w14:textId="77777777" w:rsidR="00C021C1" w:rsidRDefault="00C021C1">
      <w:pPr>
        <w:suppressAutoHyphens/>
        <w:contextualSpacing/>
        <w:jc w:val="center"/>
        <w:rPr>
          <w:rFonts w:ascii="Calibri" w:hAnsi="Calibri"/>
          <w:sz w:val="16"/>
        </w:rPr>
      </w:pPr>
    </w:p>
    <w:p w14:paraId="63136DF3" w14:textId="77777777" w:rsidR="00C021C1" w:rsidRDefault="0044600D">
      <w:pPr>
        <w:suppressAutoHyphens/>
        <w:contextualSpacing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use in completing Milestone Three (</w:t>
      </w:r>
      <w:r>
        <w:rPr>
          <w:rFonts w:ascii="Calibri" w:hAnsi="Calibri"/>
          <w:color w:val="1155CC"/>
          <w:sz w:val="22"/>
          <w:szCs w:val="22"/>
        </w:rPr>
        <w:t>items in blue</w:t>
      </w:r>
      <w:r>
        <w:rPr>
          <w:rFonts w:ascii="Calibri" w:hAnsi="Calibri"/>
          <w:sz w:val="22"/>
          <w:szCs w:val="22"/>
        </w:rPr>
        <w:t>) and Milestone Four (</w:t>
      </w:r>
      <w:r>
        <w:rPr>
          <w:rFonts w:ascii="Calibri" w:hAnsi="Calibri"/>
          <w:color w:val="45818E"/>
          <w:sz w:val="22"/>
          <w:szCs w:val="22"/>
        </w:rPr>
        <w:t>items in green</w:t>
      </w:r>
      <w:r>
        <w:rPr>
          <w:rFonts w:ascii="Calibri" w:hAnsi="Calibri"/>
          <w:sz w:val="22"/>
          <w:szCs w:val="22"/>
        </w:rPr>
        <w:t>).</w:t>
      </w:r>
    </w:p>
    <w:tbl>
      <w:tblPr>
        <w:tblW w:w="14399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9"/>
        <w:gridCol w:w="9600"/>
      </w:tblGrid>
      <w:tr w:rsidR="00C021C1" w14:paraId="3B40395E" w14:textId="77777777"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7B6DE56E" w14:textId="2ACD0D1D" w:rsidR="00C021C1" w:rsidRDefault="0044600D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  <w:r w:rsidR="004E1FFD">
              <w:rPr>
                <w:rFonts w:ascii="Calibri" w:hAnsi="Calibri"/>
                <w:sz w:val="22"/>
                <w:szCs w:val="22"/>
              </w:rPr>
              <w:t xml:space="preserve"> Jennifer Worrell</w:t>
            </w:r>
          </w:p>
        </w:tc>
        <w:tc>
          <w:tcPr>
            <w:tcW w:w="9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4207AB37" w14:textId="51787CFD" w:rsidR="00C021C1" w:rsidRDefault="0044600D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Public health issue summary: </w:t>
            </w:r>
            <w:r w:rsidR="002D5179">
              <w:rPr>
                <w:rFonts w:ascii="Calibri" w:hAnsi="Calibri"/>
                <w:sz w:val="22"/>
                <w:szCs w:val="22"/>
              </w:rPr>
              <w:t>Public health issue summary: Infectious Diseases regarding Aids and HIV</w:t>
            </w:r>
          </w:p>
        </w:tc>
      </w:tr>
    </w:tbl>
    <w:p w14:paraId="29E5A391" w14:textId="77777777" w:rsidR="00C021C1" w:rsidRDefault="00C021C1">
      <w:pPr>
        <w:suppressAutoHyphens/>
        <w:contextualSpacing/>
        <w:rPr>
          <w:rFonts w:ascii="Calibri" w:hAnsi="Calibri"/>
          <w:sz w:val="16"/>
          <w:szCs w:val="22"/>
        </w:rPr>
      </w:pPr>
    </w:p>
    <w:tbl>
      <w:tblPr>
        <w:tblW w:w="14399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6"/>
        <w:gridCol w:w="10933"/>
      </w:tblGrid>
      <w:tr w:rsidR="00C021C1" w14:paraId="2A6C28B1" w14:textId="77777777">
        <w:tc>
          <w:tcPr>
            <w:tcW w:w="3466" w:type="dxa"/>
            <w:shd w:val="clear" w:color="auto" w:fill="D9D9D9"/>
            <w:tcMar>
              <w:left w:w="48" w:type="dxa"/>
            </w:tcMar>
          </w:tcPr>
          <w:p w14:paraId="69C0B209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Intervention One:</w:t>
            </w:r>
          </w:p>
        </w:tc>
        <w:tc>
          <w:tcPr>
            <w:tcW w:w="10933" w:type="dxa"/>
            <w:shd w:val="clear" w:color="auto" w:fill="D9D9D9"/>
            <w:tcMar>
              <w:left w:w="48" w:type="dxa"/>
            </w:tcMar>
          </w:tcPr>
          <w:p w14:paraId="207B0499" w14:textId="063FC9CD" w:rsidR="00C021C1" w:rsidRDefault="004C4F9F" w:rsidP="00AF6F7D">
            <w:pPr>
              <w:suppressAutoHyphens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4C4F9F">
              <w:rPr>
                <w:rFonts w:ascii="Calibri" w:hAnsi="Calibri"/>
                <w:sz w:val="22"/>
                <w:szCs w:val="22"/>
              </w:rPr>
              <w:t>U.S. Department of Health &amp; Human Services</w:t>
            </w:r>
          </w:p>
        </w:tc>
      </w:tr>
      <w:tr w:rsidR="00C021C1" w14:paraId="0A347206" w14:textId="77777777">
        <w:tc>
          <w:tcPr>
            <w:tcW w:w="3466" w:type="dxa"/>
            <w:tcMar>
              <w:left w:w="48" w:type="dxa"/>
            </w:tcMar>
          </w:tcPr>
          <w:p w14:paraId="1261D03E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Source:</w:t>
            </w:r>
          </w:p>
        </w:tc>
        <w:tc>
          <w:tcPr>
            <w:tcW w:w="10933" w:type="dxa"/>
            <w:tcMar>
              <w:left w:w="48" w:type="dxa"/>
            </w:tcMar>
          </w:tcPr>
          <w:p w14:paraId="4D7E8801" w14:textId="6520691A" w:rsidR="00C021C1" w:rsidRDefault="002A3CFD" w:rsidP="00271AD7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</w:t>
            </w:r>
            <w:r w:rsidR="00C82E1F">
              <w:rPr>
                <w:rFonts w:ascii="Calibri" w:hAnsi="Calibri"/>
                <w:sz w:val="22"/>
                <w:szCs w:val="22"/>
              </w:rPr>
              <w:t>occanera</w:t>
            </w:r>
            <w:proofErr w:type="spellEnd"/>
            <w:r w:rsidR="00C82E1F">
              <w:rPr>
                <w:rFonts w:ascii="Calibri" w:hAnsi="Calibri"/>
                <w:sz w:val="22"/>
                <w:szCs w:val="22"/>
              </w:rPr>
              <w:t xml:space="preserve">, R. (2017). </w:t>
            </w:r>
            <w:r w:rsidR="00230239">
              <w:rPr>
                <w:rFonts w:ascii="Calibri" w:hAnsi="Calibri"/>
                <w:sz w:val="22"/>
                <w:szCs w:val="22"/>
              </w:rPr>
              <w:t>I am HHS traveling the world to fight HIV/AIDs</w:t>
            </w:r>
            <w:r w:rsidR="00AE36EF">
              <w:rPr>
                <w:rFonts w:ascii="Calibri" w:hAnsi="Calibri"/>
                <w:sz w:val="22"/>
                <w:szCs w:val="22"/>
              </w:rPr>
              <w:t>.</w:t>
            </w:r>
            <w:r w:rsidR="00AE36EF">
              <w:t xml:space="preserve"> </w:t>
            </w:r>
            <w:r w:rsidR="00AE36EF" w:rsidRPr="00AE36EF">
              <w:rPr>
                <w:rFonts w:ascii="Calibri" w:hAnsi="Calibri"/>
                <w:sz w:val="22"/>
                <w:szCs w:val="22"/>
              </w:rPr>
              <w:t>International Public Health Analyst</w:t>
            </w:r>
            <w:r w:rsidR="00AE36E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021C1" w14:paraId="7D84EF2D" w14:textId="77777777">
        <w:tc>
          <w:tcPr>
            <w:tcW w:w="3466" w:type="dxa"/>
            <w:tcMar>
              <w:left w:w="48" w:type="dxa"/>
            </w:tcMar>
          </w:tcPr>
          <w:p w14:paraId="1906F3A0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155CC"/>
                <w:sz w:val="22"/>
                <w:szCs w:val="22"/>
              </w:rPr>
              <w:t>Theoretical basis of the intervention:</w:t>
            </w:r>
          </w:p>
        </w:tc>
        <w:tc>
          <w:tcPr>
            <w:tcW w:w="10933" w:type="dxa"/>
            <w:tcMar>
              <w:left w:w="48" w:type="dxa"/>
            </w:tcMar>
          </w:tcPr>
          <w:p w14:paraId="3ABCF161" w14:textId="77777777" w:rsidR="00C021C1" w:rsidRDefault="00C021C1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021C1" w14:paraId="4E438960" w14:textId="77777777">
        <w:tc>
          <w:tcPr>
            <w:tcW w:w="3466" w:type="dxa"/>
            <w:tcMar>
              <w:left w:w="48" w:type="dxa"/>
            </w:tcMar>
          </w:tcPr>
          <w:p w14:paraId="6FD8827D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155CC"/>
                <w:sz w:val="22"/>
                <w:szCs w:val="22"/>
              </w:rPr>
              <w:t>Strategy level(s):</w:t>
            </w:r>
          </w:p>
        </w:tc>
        <w:tc>
          <w:tcPr>
            <w:tcW w:w="10933" w:type="dxa"/>
            <w:tcMar>
              <w:left w:w="48" w:type="dxa"/>
            </w:tcMar>
          </w:tcPr>
          <w:p w14:paraId="6012DA0A" w14:textId="77777777" w:rsidR="00C021C1" w:rsidRDefault="00C021C1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021C1" w14:paraId="66D7B749" w14:textId="77777777">
        <w:tc>
          <w:tcPr>
            <w:tcW w:w="3466" w:type="dxa"/>
            <w:tcMar>
              <w:left w:w="48" w:type="dxa"/>
            </w:tcMar>
          </w:tcPr>
          <w:p w14:paraId="0FF9F641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155CC"/>
                <w:sz w:val="22"/>
                <w:szCs w:val="22"/>
              </w:rPr>
              <w:t>How the intervention addresses social determinants:</w:t>
            </w:r>
          </w:p>
        </w:tc>
        <w:tc>
          <w:tcPr>
            <w:tcW w:w="10933" w:type="dxa"/>
            <w:tcMar>
              <w:left w:w="48" w:type="dxa"/>
            </w:tcMar>
          </w:tcPr>
          <w:p w14:paraId="0368CEF1" w14:textId="77777777" w:rsidR="00C021C1" w:rsidRDefault="00C021C1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C021C1" w14:paraId="1D55F2E4" w14:textId="77777777">
        <w:tc>
          <w:tcPr>
            <w:tcW w:w="3466" w:type="dxa"/>
            <w:tcMar>
              <w:left w:w="48" w:type="dxa"/>
            </w:tcMar>
          </w:tcPr>
          <w:p w14:paraId="7C9F4D26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45818E"/>
                <w:sz w:val="22"/>
                <w:szCs w:val="22"/>
              </w:rPr>
              <w:t>Public health organizations involved:</w:t>
            </w:r>
          </w:p>
        </w:tc>
        <w:tc>
          <w:tcPr>
            <w:tcW w:w="10933" w:type="dxa"/>
            <w:tcMar>
              <w:left w:w="48" w:type="dxa"/>
            </w:tcMar>
          </w:tcPr>
          <w:p w14:paraId="65164928" w14:textId="6D262B1F" w:rsidR="00310674" w:rsidRDefault="00310674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Office of the Assistant Secretary for Health (OASH) </w:t>
            </w:r>
            <w:r w:rsidR="00DC574A">
              <w:rPr>
                <w:rFonts w:ascii="Calibri" w:hAnsi="Calibri"/>
                <w:sz w:val="22"/>
                <w:szCs w:val="22"/>
              </w:rPr>
              <w:t>– Deals with project coordination and management and responsible for observing the progression and passing on information to the HIV.gov site.</w:t>
            </w:r>
          </w:p>
          <w:p w14:paraId="42A13E96" w14:textId="0DC85519" w:rsidR="00310674" w:rsidRDefault="00310674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Centers for Disease Control and Prevention (CDC)-</w:t>
            </w:r>
            <w:r w:rsidR="00DC574A">
              <w:rPr>
                <w:rFonts w:ascii="Calibri" w:hAnsi="Calibri"/>
                <w:sz w:val="22"/>
                <w:szCs w:val="22"/>
              </w:rPr>
              <w:t xml:space="preserve"> works local and state to push a high-impact HIV prevention action plan, activate jumpstart activities, and specific strategized community plans regarding AIDs/HIV</w:t>
            </w:r>
          </w:p>
          <w:p w14:paraId="065F9EA6" w14:textId="11A244F5" w:rsidR="00C021C1" w:rsidRDefault="00310674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Health Resources and Services Administration (HRSA)-</w:t>
            </w:r>
            <w:r w:rsidR="00DC574A">
              <w:rPr>
                <w:rFonts w:ascii="Calibri" w:hAnsi="Calibri"/>
                <w:sz w:val="22"/>
                <w:szCs w:val="22"/>
              </w:rPr>
              <w:t>responds to the HIV epidemic by diagnosis, treatment, and prevention. They have an outreach to conduct an expansion of routine and risk-based testing.</w:t>
            </w:r>
          </w:p>
        </w:tc>
      </w:tr>
      <w:tr w:rsidR="00C021C1" w14:paraId="246A89DB" w14:textId="77777777">
        <w:tc>
          <w:tcPr>
            <w:tcW w:w="3466" w:type="dxa"/>
            <w:tcMar>
              <w:left w:w="48" w:type="dxa"/>
            </w:tcMar>
          </w:tcPr>
          <w:p w14:paraId="0553CB3B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45818E"/>
                <w:sz w:val="22"/>
                <w:szCs w:val="22"/>
              </w:rPr>
              <w:t>Subdisciplines involved:</w:t>
            </w:r>
          </w:p>
        </w:tc>
        <w:tc>
          <w:tcPr>
            <w:tcW w:w="10933" w:type="dxa"/>
            <w:tcMar>
              <w:left w:w="48" w:type="dxa"/>
            </w:tcMar>
          </w:tcPr>
          <w:p w14:paraId="09EC90BC" w14:textId="0F09E01F" w:rsidR="00DC574A" w:rsidRDefault="00DC574A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Minority HIV/AIDs Fund</w:t>
            </w:r>
            <w:r w:rsidR="006F740A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614A9">
              <w:rPr>
                <w:rFonts w:ascii="Calibri" w:hAnsi="Calibri"/>
                <w:sz w:val="22"/>
                <w:szCs w:val="22"/>
              </w:rPr>
              <w:t>engage in EHE activities regarding needs that may emerge in communities of color dealing with the prevention, care, and treatment of HIV</w:t>
            </w:r>
          </w:p>
          <w:p w14:paraId="097BE43F" w14:textId="64985154" w:rsidR="00DC574A" w:rsidRDefault="00DC574A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Syringe Services Programs</w:t>
            </w:r>
            <w:r w:rsidR="000614A9">
              <w:rPr>
                <w:rFonts w:ascii="Calibri" w:hAnsi="Calibri"/>
                <w:sz w:val="22"/>
                <w:szCs w:val="22"/>
              </w:rPr>
              <w:t>- prevention program</w:t>
            </w:r>
            <w:r w:rsidR="005248BB">
              <w:rPr>
                <w:rFonts w:ascii="Calibri" w:hAnsi="Calibri"/>
                <w:sz w:val="22"/>
                <w:szCs w:val="22"/>
              </w:rPr>
              <w:t xml:space="preserve"> within the community that direct disposal of syringes and needles safely, while administering test, counsel services and sterile needles or syringes</w:t>
            </w:r>
          </w:p>
          <w:p w14:paraId="055E2979" w14:textId="055903A6" w:rsidR="00DC574A" w:rsidRDefault="00DC574A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Ryan White HIV/AIDs program</w:t>
            </w:r>
            <w:r w:rsidR="005248BB">
              <w:rPr>
                <w:rFonts w:ascii="Calibri" w:hAnsi="Calibri"/>
                <w:sz w:val="22"/>
                <w:szCs w:val="22"/>
              </w:rPr>
              <w:t>-directly dealt with medical care, medication, and essential support services</w:t>
            </w:r>
          </w:p>
          <w:p w14:paraId="7AA844F6" w14:textId="7F416B0A" w:rsidR="00DC574A" w:rsidRDefault="00DC574A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 Phase| Priority jurisdiction</w:t>
            </w:r>
            <w:r w:rsidR="005248BB">
              <w:rPr>
                <w:rFonts w:ascii="Calibri" w:hAnsi="Calibri"/>
                <w:sz w:val="22"/>
                <w:szCs w:val="22"/>
              </w:rPr>
              <w:t>- prioritizing specific counties, territories, and states for technology, resources, and access to experts</w:t>
            </w:r>
          </w:p>
        </w:tc>
      </w:tr>
      <w:tr w:rsidR="00C021C1" w14:paraId="4D9DDE91" w14:textId="77777777">
        <w:tc>
          <w:tcPr>
            <w:tcW w:w="3466" w:type="dxa"/>
            <w:tcMar>
              <w:left w:w="48" w:type="dxa"/>
            </w:tcMar>
          </w:tcPr>
          <w:p w14:paraId="26374D09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45818E"/>
                <w:sz w:val="22"/>
                <w:szCs w:val="22"/>
              </w:rPr>
              <w:t>Specific services provided:</w:t>
            </w:r>
          </w:p>
        </w:tc>
        <w:tc>
          <w:tcPr>
            <w:tcW w:w="10933" w:type="dxa"/>
            <w:tcMar>
              <w:left w:w="48" w:type="dxa"/>
            </w:tcMar>
          </w:tcPr>
          <w:p w14:paraId="329307C5" w14:textId="7D269D5F" w:rsidR="00C021C1" w:rsidRDefault="0008293E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4A1395">
              <w:rPr>
                <w:rFonts w:ascii="Calibri" w:hAnsi="Calibri"/>
                <w:sz w:val="22"/>
                <w:szCs w:val="22"/>
              </w:rPr>
              <w:t>xpansion</w:t>
            </w:r>
            <w:r>
              <w:rPr>
                <w:rFonts w:ascii="Calibri" w:hAnsi="Calibri"/>
                <w:sz w:val="22"/>
                <w:szCs w:val="22"/>
              </w:rPr>
              <w:t xml:space="preserve"> of prevention</w:t>
            </w:r>
            <w:r w:rsidR="00B3654B">
              <w:rPr>
                <w:rFonts w:ascii="Calibri" w:hAnsi="Calibri"/>
                <w:sz w:val="22"/>
                <w:szCs w:val="22"/>
              </w:rPr>
              <w:t>, diagnosis, and treatment, access to viable resources and technology</w:t>
            </w:r>
            <w:r w:rsidR="00D7145F">
              <w:rPr>
                <w:rFonts w:ascii="Calibri" w:hAnsi="Calibri"/>
                <w:sz w:val="22"/>
                <w:szCs w:val="22"/>
              </w:rPr>
              <w:t>, and knowledgeable experts</w:t>
            </w:r>
            <w:r w:rsidR="005D0F29">
              <w:rPr>
                <w:rFonts w:ascii="Calibri" w:hAnsi="Calibri"/>
                <w:sz w:val="22"/>
                <w:szCs w:val="22"/>
              </w:rPr>
              <w:t xml:space="preserve"> to communities of color and targeted counties, </w:t>
            </w:r>
            <w:r w:rsidR="00104BC8">
              <w:rPr>
                <w:rFonts w:ascii="Calibri" w:hAnsi="Calibri"/>
                <w:sz w:val="22"/>
                <w:szCs w:val="22"/>
              </w:rPr>
              <w:t>territories,</w:t>
            </w:r>
            <w:r w:rsidR="00E8673B">
              <w:rPr>
                <w:rFonts w:ascii="Calibri" w:hAnsi="Calibri"/>
                <w:sz w:val="22"/>
                <w:szCs w:val="22"/>
              </w:rPr>
              <w:t xml:space="preserve"> and states.</w:t>
            </w:r>
          </w:p>
        </w:tc>
      </w:tr>
      <w:tr w:rsidR="00C021C1" w14:paraId="44028F98" w14:textId="77777777">
        <w:tc>
          <w:tcPr>
            <w:tcW w:w="3466" w:type="dxa"/>
            <w:tcMar>
              <w:left w:w="48" w:type="dxa"/>
            </w:tcMar>
          </w:tcPr>
          <w:p w14:paraId="3C703DE3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Comments/Other information:</w:t>
            </w:r>
          </w:p>
        </w:tc>
        <w:tc>
          <w:tcPr>
            <w:tcW w:w="10933" w:type="dxa"/>
            <w:tcMar>
              <w:left w:w="48" w:type="dxa"/>
            </w:tcMar>
          </w:tcPr>
          <w:p w14:paraId="390305CE" w14:textId="77777777" w:rsidR="00C021C1" w:rsidRDefault="00C021C1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4B994E" w14:textId="77777777" w:rsidR="00C021C1" w:rsidRDefault="00C021C1">
      <w:pPr>
        <w:suppressAutoHyphens/>
        <w:contextualSpacing/>
        <w:rPr>
          <w:rFonts w:ascii="Calibri" w:hAnsi="Calibri"/>
          <w:sz w:val="16"/>
          <w:szCs w:val="22"/>
        </w:rPr>
      </w:pPr>
    </w:p>
    <w:tbl>
      <w:tblPr>
        <w:tblW w:w="14399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6"/>
        <w:gridCol w:w="10933"/>
      </w:tblGrid>
      <w:tr w:rsidR="00C021C1" w14:paraId="7B8DC615" w14:textId="77777777">
        <w:trPr>
          <w:trHeight w:val="97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48" w:type="dxa"/>
            </w:tcMar>
          </w:tcPr>
          <w:p w14:paraId="3C450C12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Intervention Two: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8" w:type="dxa"/>
            </w:tcMar>
          </w:tcPr>
          <w:p w14:paraId="0705ADD1" w14:textId="77777777" w:rsidR="00C021C1" w:rsidRDefault="00DB2E1F">
            <w:pPr>
              <w:suppressAutoHyphens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World of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Organization</w:t>
            </w:r>
            <w:r w:rsidR="00EC2151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="00EC2151">
              <w:rPr>
                <w:rFonts w:ascii="Calibri" w:hAnsi="Calibri"/>
                <w:sz w:val="22"/>
                <w:szCs w:val="22"/>
              </w:rPr>
              <w:t>WHO)</w:t>
            </w:r>
          </w:p>
          <w:p w14:paraId="3FECD3FF" w14:textId="65772ABF" w:rsidR="00EC2151" w:rsidRDefault="00EC2151">
            <w:pPr>
              <w:suppressAutoHyphens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21C1" w14:paraId="6BFB1864" w14:textId="77777777"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08F51BC7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Source: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3E37566B" w14:textId="7E8D4481" w:rsidR="00C021C1" w:rsidRDefault="00271AD7" w:rsidP="00271AD7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 w:rsidRPr="00271AD7">
              <w:rPr>
                <w:rFonts w:ascii="Calibri" w:hAnsi="Calibri"/>
                <w:sz w:val="22"/>
                <w:szCs w:val="22"/>
              </w:rPr>
              <w:t>W. (2019, May 23). Global health sector strategy on HIV, 2016-2021. Retrieved October 03, 2020, from https://www.who.int/hiv/strategy2016-2021/ghss-hiv/en/</w:t>
            </w:r>
          </w:p>
        </w:tc>
      </w:tr>
      <w:tr w:rsidR="00C021C1" w14:paraId="33912885" w14:textId="77777777"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AE3A626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155CC"/>
                <w:sz w:val="22"/>
                <w:szCs w:val="22"/>
              </w:rPr>
              <w:t>Theoretical basis of the intervention: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2A69AFFC" w14:textId="77777777" w:rsidR="00C021C1" w:rsidRDefault="00C021C1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021C1" w14:paraId="711CA03E" w14:textId="77777777"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62CC4537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155CC"/>
                <w:sz w:val="22"/>
                <w:szCs w:val="22"/>
              </w:rPr>
              <w:t>Strategy level(s):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51883315" w14:textId="77777777" w:rsidR="00C021C1" w:rsidRDefault="00C021C1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021C1" w14:paraId="38432183" w14:textId="77777777"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723C4EC6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155CC"/>
                <w:sz w:val="22"/>
                <w:szCs w:val="22"/>
              </w:rPr>
              <w:t>How the intervention addresses social determinants: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0EA703A2" w14:textId="77777777" w:rsidR="00C021C1" w:rsidRDefault="00C021C1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C021C1" w14:paraId="55A5DE0A" w14:textId="77777777"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02697942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45818E"/>
                <w:sz w:val="22"/>
                <w:szCs w:val="22"/>
              </w:rPr>
              <w:t>Public health organizations involved: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318B42E4" w14:textId="2800117B" w:rsidR="000B1C9E" w:rsidRDefault="000B1C9E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WHO Department of HIV/AIDs and Global Hepatitis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  <w:r w:rsidR="009006AC">
              <w:rPr>
                <w:rFonts w:ascii="Calibri" w:hAnsi="Calibri"/>
                <w:sz w:val="22"/>
                <w:szCs w:val="22"/>
              </w:rPr>
              <w:t xml:space="preserve"> diagnosis</w:t>
            </w:r>
            <w:r w:rsidR="00733159">
              <w:rPr>
                <w:rFonts w:ascii="Calibri" w:hAnsi="Calibri"/>
                <w:sz w:val="22"/>
                <w:szCs w:val="22"/>
              </w:rPr>
              <w:t>, HIV testing services, prevention providing condoms for both female and male</w:t>
            </w:r>
            <w:r w:rsidR="009D779D">
              <w:rPr>
                <w:rFonts w:ascii="Calibri" w:hAnsi="Calibri"/>
                <w:sz w:val="22"/>
                <w:szCs w:val="22"/>
              </w:rPr>
              <w:t>s, STIs and HIV testing and counseling, as well as linkage testing for tuberculosis</w:t>
            </w:r>
            <w:r w:rsidR="00280C70">
              <w:rPr>
                <w:rFonts w:ascii="Calibri" w:hAnsi="Calibri"/>
                <w:sz w:val="22"/>
                <w:szCs w:val="22"/>
              </w:rPr>
              <w:t xml:space="preserve"> (TB), Voluntarily </w:t>
            </w:r>
            <w:r w:rsidR="00620B3E">
              <w:rPr>
                <w:rFonts w:ascii="Calibri" w:hAnsi="Calibri"/>
                <w:sz w:val="22"/>
                <w:szCs w:val="22"/>
              </w:rPr>
              <w:t>M</w:t>
            </w:r>
            <w:r w:rsidR="00280C70">
              <w:rPr>
                <w:rFonts w:ascii="Calibri" w:hAnsi="Calibri"/>
                <w:sz w:val="22"/>
                <w:szCs w:val="22"/>
              </w:rPr>
              <w:t>edical</w:t>
            </w:r>
            <w:r w:rsidR="00620B3E">
              <w:rPr>
                <w:rFonts w:ascii="Calibri" w:hAnsi="Calibri"/>
                <w:sz w:val="22"/>
                <w:szCs w:val="22"/>
              </w:rPr>
              <w:t xml:space="preserve"> Male Circumcision</w:t>
            </w:r>
            <w:r w:rsidR="00F1038D">
              <w:rPr>
                <w:rFonts w:ascii="Calibri" w:hAnsi="Calibri"/>
                <w:sz w:val="22"/>
                <w:szCs w:val="22"/>
              </w:rPr>
              <w:t xml:space="preserve"> (VMMC), prevention using ARVs, and for people who use drugs and inject </w:t>
            </w:r>
            <w:r w:rsidR="00A72144">
              <w:rPr>
                <w:rFonts w:ascii="Calibri" w:hAnsi="Calibri"/>
                <w:sz w:val="22"/>
                <w:szCs w:val="22"/>
              </w:rPr>
              <w:t>there is a harm reduction option.</w:t>
            </w:r>
            <w:r w:rsidR="00280C7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7B607AB" w14:textId="0D668865" w:rsidR="00C021C1" w:rsidRDefault="00AC786D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Joint United Nations</w:t>
            </w:r>
            <w:r w:rsidR="00C2085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20854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="00C20854">
              <w:rPr>
                <w:rFonts w:ascii="Calibri" w:hAnsi="Calibri"/>
                <w:sz w:val="22"/>
                <w:szCs w:val="22"/>
              </w:rPr>
              <w:t xml:space="preserve"> on AIDS (UNAIDS)</w:t>
            </w:r>
            <w:r w:rsidR="00792B14">
              <w:rPr>
                <w:rFonts w:ascii="Calibri" w:hAnsi="Calibri"/>
                <w:sz w:val="22"/>
                <w:szCs w:val="22"/>
              </w:rPr>
              <w:t>-</w:t>
            </w:r>
            <w:r w:rsidR="00133E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74F0">
              <w:rPr>
                <w:rFonts w:ascii="Calibri" w:hAnsi="Calibri"/>
                <w:sz w:val="22"/>
                <w:szCs w:val="22"/>
              </w:rPr>
              <w:t xml:space="preserve">guided the </w:t>
            </w:r>
            <w:r w:rsidR="002F451F">
              <w:rPr>
                <w:rFonts w:ascii="Calibri" w:hAnsi="Calibri"/>
                <w:sz w:val="22"/>
                <w:szCs w:val="22"/>
              </w:rPr>
              <w:t xml:space="preserve">initiative for </w:t>
            </w:r>
            <w:r w:rsidR="005A6150">
              <w:rPr>
                <w:rFonts w:ascii="Calibri" w:hAnsi="Calibri"/>
                <w:sz w:val="22"/>
                <w:szCs w:val="22"/>
              </w:rPr>
              <w:t xml:space="preserve">care and treatment of HIV, TB coinfection, </w:t>
            </w:r>
            <w:r w:rsidR="00CC3156">
              <w:rPr>
                <w:rFonts w:ascii="Calibri" w:hAnsi="Calibri"/>
                <w:sz w:val="22"/>
                <w:szCs w:val="22"/>
              </w:rPr>
              <w:t xml:space="preserve">working with UNICEF to </w:t>
            </w:r>
            <w:r w:rsidR="0041336F">
              <w:rPr>
                <w:rFonts w:ascii="Calibri" w:hAnsi="Calibri"/>
                <w:sz w:val="22"/>
                <w:szCs w:val="22"/>
              </w:rPr>
              <w:t>coordinate eliminating MTCT of HIV.</w:t>
            </w:r>
          </w:p>
          <w:p w14:paraId="235D8436" w14:textId="2CAA030B" w:rsidR="00792B14" w:rsidRDefault="008C0E31" w:rsidP="004406A7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021C1" w14:paraId="310B173F" w14:textId="77777777"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57440EFB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45818E"/>
                <w:sz w:val="22"/>
                <w:szCs w:val="22"/>
              </w:rPr>
              <w:t>Subdisciplines involved: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68FF9BDB" w14:textId="2AEE5D02" w:rsidR="00BC672F" w:rsidRDefault="004747D1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HIV</w:t>
            </w:r>
            <w:r w:rsidR="00BC672F">
              <w:rPr>
                <w:rFonts w:ascii="Calibri" w:hAnsi="Calibri"/>
                <w:sz w:val="22"/>
                <w:szCs w:val="22"/>
              </w:rPr>
              <w:t xml:space="preserve"> Treatment</w:t>
            </w:r>
            <w:r w:rsidR="000D35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3B77">
              <w:rPr>
                <w:rFonts w:ascii="Calibri" w:hAnsi="Calibri"/>
                <w:sz w:val="22"/>
                <w:szCs w:val="22"/>
              </w:rPr>
              <w:t>and Care</w:t>
            </w:r>
            <w:r w:rsidR="008C0E3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C672F">
              <w:rPr>
                <w:rFonts w:ascii="Calibri" w:hAnsi="Calibri"/>
                <w:sz w:val="22"/>
                <w:szCs w:val="22"/>
              </w:rPr>
              <w:t>Key Populations and Prevention</w:t>
            </w:r>
            <w:r w:rsidR="008C0E3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C672F">
              <w:rPr>
                <w:rFonts w:ascii="Calibri" w:hAnsi="Calibri"/>
                <w:sz w:val="22"/>
                <w:szCs w:val="22"/>
              </w:rPr>
              <w:t>Strategic Information and Planning</w:t>
            </w:r>
            <w:r w:rsidR="008C0E3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C672F">
              <w:rPr>
                <w:rFonts w:ascii="Calibri" w:hAnsi="Calibri"/>
                <w:sz w:val="22"/>
                <w:szCs w:val="22"/>
              </w:rPr>
              <w:t>Office of D</w:t>
            </w:r>
            <w:r w:rsidR="008C0E31">
              <w:rPr>
                <w:rFonts w:ascii="Calibri" w:hAnsi="Calibri"/>
                <w:sz w:val="22"/>
                <w:szCs w:val="22"/>
              </w:rPr>
              <w:t>i</w:t>
            </w:r>
            <w:r w:rsidR="00BC672F">
              <w:rPr>
                <w:rFonts w:ascii="Calibri" w:hAnsi="Calibri"/>
                <w:sz w:val="22"/>
                <w:szCs w:val="22"/>
              </w:rPr>
              <w:t>rector</w:t>
            </w:r>
            <w:r w:rsidR="008C0E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0332">
              <w:rPr>
                <w:rFonts w:ascii="Calibri" w:hAnsi="Calibri"/>
                <w:sz w:val="22"/>
                <w:szCs w:val="22"/>
              </w:rPr>
              <w:t xml:space="preserve">promotes </w:t>
            </w:r>
            <w:r w:rsidR="00363914">
              <w:rPr>
                <w:rFonts w:ascii="Calibri" w:hAnsi="Calibri"/>
                <w:sz w:val="22"/>
                <w:szCs w:val="22"/>
              </w:rPr>
              <w:t xml:space="preserve">health </w:t>
            </w:r>
            <w:r w:rsidR="00A81841">
              <w:rPr>
                <w:rFonts w:ascii="Calibri" w:hAnsi="Calibri"/>
                <w:sz w:val="22"/>
                <w:szCs w:val="22"/>
              </w:rPr>
              <w:t>equality and human rights</w:t>
            </w:r>
            <w:r w:rsidR="0051761D">
              <w:rPr>
                <w:rFonts w:ascii="Calibri" w:hAnsi="Calibri"/>
                <w:sz w:val="22"/>
                <w:szCs w:val="22"/>
              </w:rPr>
              <w:t>,</w:t>
            </w:r>
            <w:r w:rsidR="00A818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72C5">
              <w:rPr>
                <w:rFonts w:ascii="Calibri" w:hAnsi="Calibri"/>
                <w:sz w:val="22"/>
                <w:szCs w:val="22"/>
              </w:rPr>
              <w:t xml:space="preserve">committing to </w:t>
            </w:r>
            <w:r w:rsidR="000836D2">
              <w:rPr>
                <w:rFonts w:ascii="Calibri" w:hAnsi="Calibri"/>
                <w:sz w:val="22"/>
                <w:szCs w:val="22"/>
              </w:rPr>
              <w:t xml:space="preserve">a rapid decrease In the newer cases of HIV and </w:t>
            </w:r>
            <w:r w:rsidR="0051761D">
              <w:rPr>
                <w:rFonts w:ascii="Calibri" w:hAnsi="Calibri"/>
                <w:sz w:val="22"/>
                <w:szCs w:val="22"/>
              </w:rPr>
              <w:t xml:space="preserve">associated deaths, while maintaining a </w:t>
            </w:r>
            <w:r w:rsidR="001238AA">
              <w:rPr>
                <w:rFonts w:ascii="Calibri" w:hAnsi="Calibri"/>
                <w:sz w:val="22"/>
                <w:szCs w:val="22"/>
              </w:rPr>
              <w:t xml:space="preserve">prosperous lifestyle with HIV. </w:t>
            </w:r>
          </w:p>
        </w:tc>
      </w:tr>
      <w:tr w:rsidR="00C021C1" w14:paraId="7EDA6DA7" w14:textId="77777777"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1879AF0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45818E"/>
                <w:sz w:val="22"/>
                <w:szCs w:val="22"/>
              </w:rPr>
              <w:t>Specific services provided: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1A4FB4DE" w14:textId="59EEBA3F" w:rsidR="00C021C1" w:rsidRDefault="0084612E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Accelerate </w:t>
            </w:r>
            <w:r w:rsidR="00E9395F">
              <w:rPr>
                <w:rFonts w:ascii="Calibri" w:hAnsi="Calibri"/>
                <w:sz w:val="22"/>
                <w:szCs w:val="22"/>
              </w:rPr>
              <w:t xml:space="preserve">the concentration of </w:t>
            </w:r>
            <w:r w:rsidR="004B6D4B">
              <w:rPr>
                <w:rFonts w:ascii="Calibri" w:hAnsi="Calibri"/>
                <w:sz w:val="22"/>
                <w:szCs w:val="22"/>
              </w:rPr>
              <w:t xml:space="preserve">prevention of HIV, </w:t>
            </w:r>
            <w:r w:rsidR="008C3099">
              <w:rPr>
                <w:rFonts w:ascii="Calibri" w:hAnsi="Calibri"/>
                <w:sz w:val="22"/>
                <w:szCs w:val="22"/>
              </w:rPr>
              <w:t xml:space="preserve">encouraging </w:t>
            </w:r>
            <w:r w:rsidR="000F0C2A">
              <w:rPr>
                <w:rFonts w:ascii="Calibri" w:hAnsi="Calibri"/>
                <w:sz w:val="22"/>
                <w:szCs w:val="22"/>
              </w:rPr>
              <w:t xml:space="preserve">individuals to know their status when regarding HIV, </w:t>
            </w:r>
            <w:r w:rsidR="00B77755">
              <w:rPr>
                <w:rFonts w:ascii="Calibri" w:hAnsi="Calibri"/>
                <w:sz w:val="22"/>
                <w:szCs w:val="22"/>
              </w:rPr>
              <w:t>administer</w:t>
            </w:r>
            <w:r w:rsidR="00E67E17">
              <w:rPr>
                <w:rFonts w:ascii="Calibri" w:hAnsi="Calibri"/>
                <w:sz w:val="22"/>
                <w:szCs w:val="22"/>
              </w:rPr>
              <w:t>ing antiretroviral therapy</w:t>
            </w:r>
            <w:r w:rsidR="009E5E81">
              <w:rPr>
                <w:rFonts w:ascii="Calibri" w:hAnsi="Calibri"/>
                <w:sz w:val="22"/>
                <w:szCs w:val="22"/>
              </w:rPr>
              <w:t xml:space="preserve"> and life with HI</w:t>
            </w:r>
            <w:r w:rsidR="00CF0D7C">
              <w:rPr>
                <w:rFonts w:ascii="Calibri" w:hAnsi="Calibri"/>
                <w:sz w:val="22"/>
                <w:szCs w:val="22"/>
              </w:rPr>
              <w:t xml:space="preserve">V long term, while bringing awareness about </w:t>
            </w:r>
            <w:r w:rsidR="00756E37">
              <w:rPr>
                <w:rFonts w:ascii="Calibri" w:hAnsi="Calibri"/>
                <w:sz w:val="22"/>
                <w:szCs w:val="22"/>
              </w:rPr>
              <w:t>discrimination and attached stigmas</w:t>
            </w:r>
          </w:p>
        </w:tc>
      </w:tr>
      <w:tr w:rsidR="00C021C1" w14:paraId="5A8B57AC" w14:textId="77777777"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CADAB09" w14:textId="77777777" w:rsidR="00C021C1" w:rsidRDefault="0044600D">
            <w:pPr>
              <w:suppressAutoHyphens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Comments/Other information:</w:t>
            </w:r>
          </w:p>
        </w:tc>
        <w:tc>
          <w:tcPr>
            <w:tcW w:w="10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4D874C6A" w14:textId="77777777" w:rsidR="00C021C1" w:rsidRDefault="00C021C1">
            <w:pPr>
              <w:suppressAutoHyphens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AF412B" w14:textId="77777777" w:rsidR="00C021C1" w:rsidRDefault="00C021C1">
      <w:pPr>
        <w:suppressAutoHyphens/>
        <w:contextualSpacing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63E6BD" w14:textId="77777777" w:rsidR="00C021C1" w:rsidRDefault="0044600D">
      <w:pPr>
        <w:suppressAutoHyphens/>
        <w:contextualSpacing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Submit this worksheet for Milestones Three and Four using this naming convention: Milestone3WorksheetLastName.doc/docx and Milestone4WorksheetLastName.doc/docx</w:t>
      </w:r>
    </w:p>
    <w:p w14:paraId="5797AB83" w14:textId="77777777" w:rsidR="00C021C1" w:rsidRDefault="00C021C1">
      <w:pPr>
        <w:suppressAutoHyphens/>
        <w:contextualSpacing/>
        <w:rPr>
          <w:rFonts w:ascii="Calibri" w:hAnsi="Calibri"/>
          <w:sz w:val="2"/>
          <w:szCs w:val="22"/>
        </w:rPr>
      </w:pPr>
    </w:p>
    <w:sectPr w:rsidR="00C021C1">
      <w:head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45B7" w14:textId="77777777" w:rsidR="00C1737D" w:rsidRDefault="00C1737D">
      <w:pPr>
        <w:spacing w:after="0" w:line="240" w:lineRule="auto"/>
      </w:pPr>
      <w:r>
        <w:separator/>
      </w:r>
    </w:p>
  </w:endnote>
  <w:endnote w:type="continuationSeparator" w:id="0">
    <w:p w14:paraId="43FCAD26" w14:textId="77777777" w:rsidR="00C1737D" w:rsidRDefault="00C1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">
    <w:altName w:val="SimSun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8B605" w14:textId="77777777" w:rsidR="00C1737D" w:rsidRDefault="00C1737D">
      <w:pPr>
        <w:spacing w:after="0" w:line="240" w:lineRule="auto"/>
      </w:pPr>
      <w:r>
        <w:separator/>
      </w:r>
    </w:p>
  </w:footnote>
  <w:footnote w:type="continuationSeparator" w:id="0">
    <w:p w14:paraId="29950177" w14:textId="77777777" w:rsidR="00C1737D" w:rsidRDefault="00C1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DE9E" w14:textId="77777777" w:rsidR="00C021C1" w:rsidRDefault="00A121E9">
    <w:pPr>
      <w:pStyle w:val="Header"/>
      <w:jc w:val="center"/>
    </w:pPr>
    <w:r>
      <w:rPr>
        <w:noProof/>
      </w:rPr>
      <w:drawing>
        <wp:inline distT="0" distB="0" distL="0" distR="0" wp14:anchorId="26B237D8" wp14:editId="1E1521B4">
          <wp:extent cx="2743200" cy="405765"/>
          <wp:effectExtent l="0" t="0" r="0" b="0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C1"/>
    <w:rsid w:val="000373E3"/>
    <w:rsid w:val="00047748"/>
    <w:rsid w:val="000614A9"/>
    <w:rsid w:val="0008293E"/>
    <w:rsid w:val="000836D2"/>
    <w:rsid w:val="000B1C9E"/>
    <w:rsid w:val="000D35FB"/>
    <w:rsid w:val="000F0C2A"/>
    <w:rsid w:val="00104BC8"/>
    <w:rsid w:val="001238AA"/>
    <w:rsid w:val="00133EA0"/>
    <w:rsid w:val="001A108A"/>
    <w:rsid w:val="00226A48"/>
    <w:rsid w:val="00230239"/>
    <w:rsid w:val="00271AD7"/>
    <w:rsid w:val="00280C70"/>
    <w:rsid w:val="002A3CFD"/>
    <w:rsid w:val="002D5179"/>
    <w:rsid w:val="002F451F"/>
    <w:rsid w:val="00310674"/>
    <w:rsid w:val="00346784"/>
    <w:rsid w:val="00363914"/>
    <w:rsid w:val="00363B77"/>
    <w:rsid w:val="0041336F"/>
    <w:rsid w:val="004216B6"/>
    <w:rsid w:val="004406A7"/>
    <w:rsid w:val="0044600D"/>
    <w:rsid w:val="004471E3"/>
    <w:rsid w:val="004747D1"/>
    <w:rsid w:val="004974F0"/>
    <w:rsid w:val="004A1395"/>
    <w:rsid w:val="004B6D4B"/>
    <w:rsid w:val="004C4F9F"/>
    <w:rsid w:val="004E1FFD"/>
    <w:rsid w:val="0051761D"/>
    <w:rsid w:val="005248BB"/>
    <w:rsid w:val="00524F2F"/>
    <w:rsid w:val="005A6150"/>
    <w:rsid w:val="005D0F29"/>
    <w:rsid w:val="00620B3E"/>
    <w:rsid w:val="006F740A"/>
    <w:rsid w:val="00733159"/>
    <w:rsid w:val="007453B5"/>
    <w:rsid w:val="00756E37"/>
    <w:rsid w:val="00792B14"/>
    <w:rsid w:val="007B0332"/>
    <w:rsid w:val="00833B43"/>
    <w:rsid w:val="0084612E"/>
    <w:rsid w:val="008A72C5"/>
    <w:rsid w:val="008C0E31"/>
    <w:rsid w:val="008C3099"/>
    <w:rsid w:val="009006AC"/>
    <w:rsid w:val="009D779D"/>
    <w:rsid w:val="009E5E81"/>
    <w:rsid w:val="00A121E9"/>
    <w:rsid w:val="00A72144"/>
    <w:rsid w:val="00A81841"/>
    <w:rsid w:val="00AC786D"/>
    <w:rsid w:val="00AE36EF"/>
    <w:rsid w:val="00AF6F7D"/>
    <w:rsid w:val="00B3654B"/>
    <w:rsid w:val="00B77755"/>
    <w:rsid w:val="00BC672F"/>
    <w:rsid w:val="00C021C1"/>
    <w:rsid w:val="00C1737D"/>
    <w:rsid w:val="00C20854"/>
    <w:rsid w:val="00C82E1F"/>
    <w:rsid w:val="00CC3156"/>
    <w:rsid w:val="00CF0D7C"/>
    <w:rsid w:val="00D7145F"/>
    <w:rsid w:val="00DB2E1F"/>
    <w:rsid w:val="00DC574A"/>
    <w:rsid w:val="00E67E17"/>
    <w:rsid w:val="00E8673B"/>
    <w:rsid w:val="00E9395F"/>
    <w:rsid w:val="00EC2151"/>
    <w:rsid w:val="00EE3E61"/>
    <w:rsid w:val="00F1038D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3A8F499"/>
  <w15:docId w15:val="{EDC06720-C460-4DDC-B657-0D4BD24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Liberation Sans" w:hAnsi="Liberation Sans" w:cs="Liberation Sans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suppressAutoHyphens/>
      <w:contextualSpacing/>
      <w:jc w:val="center"/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3E68B-DB6A-4953-A62C-CEB59F88B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0F554-7BA8-4D00-805D-F322CE48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E368F60-871F-4F6B-AFDC-8457E1837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Verano, Olivia</dc:creator>
  <cp:lastModifiedBy>Jenn Worrell</cp:lastModifiedBy>
  <cp:revision>2</cp:revision>
  <dcterms:created xsi:type="dcterms:W3CDTF">2020-10-10T10:32:00Z</dcterms:created>
  <dcterms:modified xsi:type="dcterms:W3CDTF">2020-10-10T10:32:00Z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  <property fmtid="{D5CDD505-2E9C-101B-9397-08002B2CF9AE}" pid="3" name="KSOProductBuildVer">
    <vt:lpwstr>1033-9.1.0.4550</vt:lpwstr>
  </property>
</Properties>
</file>