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8A0B1" w14:textId="77777777" w:rsidR="0002754C" w:rsidRDefault="0002754C" w:rsidP="0002754C">
      <w:pPr>
        <w:pStyle w:val="Heading1"/>
        <w:shd w:val="clear" w:color="auto" w:fill="FFFFFF"/>
        <w:spacing w:before="225" w:beforeAutospacing="0" w:after="225" w:afterAutospacing="0"/>
        <w:rPr>
          <w:rFonts w:ascii="Helvetica Neue" w:hAnsi="Helvetica Neue"/>
          <w:b w:val="0"/>
          <w:bCs w:val="0"/>
          <w:color w:val="666666"/>
          <w:sz w:val="60"/>
          <w:szCs w:val="60"/>
        </w:rPr>
      </w:pPr>
      <w:r>
        <w:rPr>
          <w:rFonts w:ascii="Helvetica Neue" w:hAnsi="Helvetica Neue"/>
          <w:b w:val="0"/>
          <w:bCs w:val="0"/>
          <w:color w:val="666666"/>
          <w:sz w:val="60"/>
          <w:szCs w:val="60"/>
        </w:rPr>
        <w:t>Week 5 Websites</w:t>
      </w:r>
    </w:p>
    <w:p w14:paraId="25B9986B" w14:textId="77777777" w:rsidR="0002754C" w:rsidRDefault="0002754C" w:rsidP="0002754C">
      <w:pPr>
        <w:numPr>
          <w:ilvl w:val="0"/>
          <w:numId w:val="3"/>
        </w:numPr>
        <w:shd w:val="clear" w:color="auto" w:fill="FFFFFF"/>
        <w:spacing w:beforeAutospacing="1" w:afterAutospacing="1"/>
        <w:ind w:left="375"/>
        <w:rPr>
          <w:rFonts w:ascii="Helvetica Neue" w:hAnsi="Helvetica Neue"/>
          <w:color w:val="000000"/>
        </w:rPr>
      </w:pPr>
      <w:hyperlink r:id="rId7" w:anchor="tradeagreements" w:tgtFrame="_blank" w:history="1">
        <w:r>
          <w:rPr>
            <w:rStyle w:val="Hyperlink"/>
            <w:rFonts w:ascii="Helvetica Neue" w:hAnsi="Helvetica Neue"/>
          </w:rPr>
          <w:t xml:space="preserve">US Department of Commerce: Import and Export Training Videos </w:t>
        </w:r>
        <w:proofErr w:type="gramStart"/>
        <w:r>
          <w:rPr>
            <w:rStyle w:val="Hyperlink"/>
            <w:rFonts w:ascii="Helvetica Neue" w:hAnsi="Helvetica Neue"/>
          </w:rPr>
          <w: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This web link takes you to an outstanding series of training videos featuring video on Importing and Exporting goods and services. However, the webpage also contains links to other valuable resources applicable to this course.</w:t>
      </w:r>
    </w:p>
    <w:p w14:paraId="5C190CD9" w14:textId="77777777" w:rsidR="0002754C" w:rsidRDefault="0002754C" w:rsidP="0002754C">
      <w:pPr>
        <w:pStyle w:val="NormalWeb"/>
        <w:numPr>
          <w:ilvl w:val="0"/>
          <w:numId w:val="3"/>
        </w:numPr>
        <w:shd w:val="clear" w:color="auto" w:fill="FFFFFF"/>
        <w:spacing w:before="0" w:beforeAutospacing="0" w:after="0" w:afterAutospacing="0"/>
        <w:ind w:left="375"/>
        <w:rPr>
          <w:rFonts w:ascii="Helvetica Neue" w:hAnsi="Helvetica Neue"/>
          <w:color w:val="000000"/>
        </w:rPr>
      </w:pPr>
      <w:hyperlink r:id="rId8" w:tgtFrame="_blank" w:history="1">
        <w:r>
          <w:rPr>
            <w:rStyle w:val="Hyperlink"/>
            <w:rFonts w:ascii="Helvetica Neue" w:hAnsi="Helvetica Neue"/>
          </w:rPr>
          <w:t xml:space="preserve">How Managing Political Risk Improves Global Business </w:t>
        </w:r>
        <w:proofErr w:type="gramStart"/>
        <w:r>
          <w:rPr>
            <w:rStyle w:val="Hyperlink"/>
            <w:rFonts w:ascii="Helvetica Neue" w:hAnsi="Helvetica Neue"/>
          </w:rPr>
          <w:t>Performance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 "Companies doing business internationally are grappling with political issues that sometimes surprise even the most experienced. A new study by PricewaterhouseCoopers and Eurasia Group shows that despite current efforts, a high percentage of multinational companies believe they are not doing all they could to manage political risk effectively" (p. 1). This is a very interesting study that illustrates how companies struggle to manage political risk internationally. </w:t>
      </w:r>
    </w:p>
    <w:p w14:paraId="480EC1B7" w14:textId="77777777" w:rsidR="0002754C" w:rsidRDefault="0002754C" w:rsidP="0002754C">
      <w:pPr>
        <w:pStyle w:val="NormalWeb"/>
        <w:numPr>
          <w:ilvl w:val="0"/>
          <w:numId w:val="3"/>
        </w:numPr>
        <w:shd w:val="clear" w:color="auto" w:fill="FFFFFF"/>
        <w:spacing w:before="0" w:beforeAutospacing="0" w:after="0" w:afterAutospacing="0"/>
        <w:ind w:left="375"/>
        <w:rPr>
          <w:rFonts w:ascii="Helvetica Neue" w:hAnsi="Helvetica Neue"/>
          <w:color w:val="000000"/>
        </w:rPr>
      </w:pPr>
      <w:hyperlink r:id="rId9" w:tgtFrame="_blank" w:history="1">
        <w:r>
          <w:rPr>
            <w:rStyle w:val="Hyperlink"/>
            <w:rFonts w:ascii="Helvetica Neue" w:hAnsi="Helvetica Neue"/>
          </w:rPr>
          <w:t xml:space="preserve">Currency Exchange Risk Management: Setting Up Strategy to Hedge on Foreign Exchange </w:t>
        </w:r>
        <w:proofErr w:type="gramStart"/>
        <w:r>
          <w:rPr>
            <w:rStyle w:val="Hyperlink"/>
            <w:rFonts w:ascii="Helvetica Neue" w:hAnsi="Helvetica Neue"/>
          </w:rPr>
          <w:t>Markets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 This website briefly describes the process necessary to implement a successful strategy to manage foreign exchange markets. </w:t>
      </w:r>
    </w:p>
    <w:p w14:paraId="792A5DFF" w14:textId="77777777" w:rsidR="0002754C" w:rsidRDefault="0002754C" w:rsidP="0002754C">
      <w:pPr>
        <w:numPr>
          <w:ilvl w:val="0"/>
          <w:numId w:val="3"/>
        </w:numPr>
        <w:shd w:val="clear" w:color="auto" w:fill="FFFFFF"/>
        <w:spacing w:beforeAutospacing="1" w:afterAutospacing="1"/>
        <w:ind w:left="375"/>
        <w:rPr>
          <w:rFonts w:ascii="Helvetica Neue" w:hAnsi="Helvetica Neue"/>
          <w:color w:val="000000"/>
        </w:rPr>
      </w:pPr>
      <w:hyperlink r:id="rId10" w:tgtFrame="_blank" w:history="1">
        <w:r>
          <w:rPr>
            <w:rStyle w:val="Hyperlink"/>
            <w:rFonts w:ascii="Helvetica Neue" w:hAnsi="Helvetica Neue"/>
          </w:rPr>
          <w:t xml:space="preserve">Managing Foreign Exchange </w:t>
        </w:r>
        <w:proofErr w:type="gramStart"/>
        <w:r>
          <w:rPr>
            <w:rStyle w:val="Hyperlink"/>
            <w:rFonts w:ascii="Helvetica Neue" w:hAnsi="Helvetica Neue"/>
          </w:rPr>
          <w:t>Risk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 This site identifies four steps that a company can take to manage foreign exchange risk. </w:t>
      </w:r>
    </w:p>
    <w:p w14:paraId="2ED19B0B" w14:textId="77777777" w:rsidR="003046CD" w:rsidRDefault="001D1456"/>
    <w:sectPr w:rsidR="003046CD" w:rsidSect="00C24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ED039" w14:textId="77777777" w:rsidR="001D1456" w:rsidRDefault="001D1456" w:rsidP="00ED394F">
      <w:r>
        <w:separator/>
      </w:r>
    </w:p>
  </w:endnote>
  <w:endnote w:type="continuationSeparator" w:id="0">
    <w:p w14:paraId="6D838A90" w14:textId="77777777" w:rsidR="001D1456" w:rsidRDefault="001D1456" w:rsidP="00ED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2FE4C6" w14:textId="77777777" w:rsidR="001D1456" w:rsidRDefault="001D1456" w:rsidP="00ED394F">
      <w:r>
        <w:separator/>
      </w:r>
    </w:p>
  </w:footnote>
  <w:footnote w:type="continuationSeparator" w:id="0">
    <w:p w14:paraId="25D27A86" w14:textId="77777777" w:rsidR="001D1456" w:rsidRDefault="001D1456" w:rsidP="00ED3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AA193A"/>
    <w:multiLevelType w:val="multilevel"/>
    <w:tmpl w:val="05E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4F500D"/>
    <w:multiLevelType w:val="multilevel"/>
    <w:tmpl w:val="7F14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02754C"/>
    <w:rsid w:val="001D1456"/>
    <w:rsid w:val="004033ED"/>
    <w:rsid w:val="004F402A"/>
    <w:rsid w:val="00721CA2"/>
    <w:rsid w:val="00B447F6"/>
    <w:rsid w:val="00B95EEF"/>
    <w:rsid w:val="00BC478F"/>
    <w:rsid w:val="00C24C12"/>
    <w:rsid w:val="00CF261F"/>
    <w:rsid w:val="00ED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033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 w:type="paragraph" w:styleId="Header">
    <w:name w:val="header"/>
    <w:basedOn w:val="Normal"/>
    <w:link w:val="HeaderChar"/>
    <w:uiPriority w:val="99"/>
    <w:unhideWhenUsed/>
    <w:rsid w:val="00ED394F"/>
    <w:pPr>
      <w:tabs>
        <w:tab w:val="center" w:pos="4680"/>
        <w:tab w:val="right" w:pos="9360"/>
      </w:tabs>
    </w:pPr>
  </w:style>
  <w:style w:type="character" w:customStyle="1" w:styleId="HeaderChar">
    <w:name w:val="Header Char"/>
    <w:basedOn w:val="DefaultParagraphFont"/>
    <w:link w:val="Header"/>
    <w:uiPriority w:val="99"/>
    <w:rsid w:val="00ED394F"/>
  </w:style>
  <w:style w:type="paragraph" w:styleId="Footer">
    <w:name w:val="footer"/>
    <w:basedOn w:val="Normal"/>
    <w:link w:val="FooterChar"/>
    <w:uiPriority w:val="99"/>
    <w:unhideWhenUsed/>
    <w:rsid w:val="00ED394F"/>
    <w:pPr>
      <w:tabs>
        <w:tab w:val="center" w:pos="4680"/>
        <w:tab w:val="right" w:pos="9360"/>
      </w:tabs>
    </w:pPr>
  </w:style>
  <w:style w:type="character" w:customStyle="1" w:styleId="FooterChar">
    <w:name w:val="Footer Char"/>
    <w:basedOn w:val="DefaultParagraphFont"/>
    <w:link w:val="Footer"/>
    <w:uiPriority w:val="99"/>
    <w:rsid w:val="00ED394F"/>
  </w:style>
  <w:style w:type="character" w:customStyle="1" w:styleId="Heading2Char">
    <w:name w:val="Heading 2 Char"/>
    <w:basedOn w:val="DefaultParagraphFont"/>
    <w:link w:val="Heading2"/>
    <w:uiPriority w:val="9"/>
    <w:semiHidden/>
    <w:rsid w:val="004033E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7091">
      <w:bodyDiv w:val="1"/>
      <w:marLeft w:val="0"/>
      <w:marRight w:val="0"/>
      <w:marTop w:val="0"/>
      <w:marBottom w:val="0"/>
      <w:divBdr>
        <w:top w:val="none" w:sz="0" w:space="0" w:color="auto"/>
        <w:left w:val="none" w:sz="0" w:space="0" w:color="auto"/>
        <w:bottom w:val="none" w:sz="0" w:space="0" w:color="auto"/>
        <w:right w:val="none" w:sz="0" w:space="0" w:color="auto"/>
      </w:divBdr>
    </w:div>
    <w:div w:id="555432323">
      <w:bodyDiv w:val="1"/>
      <w:marLeft w:val="0"/>
      <w:marRight w:val="0"/>
      <w:marTop w:val="0"/>
      <w:marBottom w:val="0"/>
      <w:divBdr>
        <w:top w:val="none" w:sz="0" w:space="0" w:color="auto"/>
        <w:left w:val="none" w:sz="0" w:space="0" w:color="auto"/>
        <w:bottom w:val="none" w:sz="0" w:space="0" w:color="auto"/>
        <w:right w:val="none" w:sz="0" w:space="0" w:color="auto"/>
      </w:divBdr>
    </w:div>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 w:id="974678425">
      <w:bodyDiv w:val="1"/>
      <w:marLeft w:val="0"/>
      <w:marRight w:val="0"/>
      <w:marTop w:val="0"/>
      <w:marBottom w:val="0"/>
      <w:divBdr>
        <w:top w:val="none" w:sz="0" w:space="0" w:color="auto"/>
        <w:left w:val="none" w:sz="0" w:space="0" w:color="auto"/>
        <w:bottom w:val="none" w:sz="0" w:space="0" w:color="auto"/>
        <w:right w:val="none" w:sz="0" w:space="0" w:color="auto"/>
      </w:divBdr>
      <w:divsChild>
        <w:div w:id="2122336378">
          <w:marLeft w:val="0"/>
          <w:marRight w:val="0"/>
          <w:marTop w:val="0"/>
          <w:marBottom w:val="0"/>
          <w:divBdr>
            <w:top w:val="none" w:sz="0" w:space="0" w:color="auto"/>
            <w:left w:val="none" w:sz="0" w:space="0" w:color="auto"/>
            <w:bottom w:val="none" w:sz="0" w:space="0" w:color="auto"/>
            <w:right w:val="none" w:sz="0" w:space="0" w:color="auto"/>
          </w:divBdr>
        </w:div>
        <w:div w:id="1534341211">
          <w:marLeft w:val="0"/>
          <w:marRight w:val="0"/>
          <w:marTop w:val="0"/>
          <w:marBottom w:val="0"/>
          <w:divBdr>
            <w:top w:val="none" w:sz="0" w:space="0" w:color="auto"/>
            <w:left w:val="none" w:sz="0" w:space="0" w:color="auto"/>
            <w:bottom w:val="none" w:sz="0" w:space="0" w:color="auto"/>
            <w:right w:val="none" w:sz="0" w:space="0" w:color="auto"/>
          </w:divBdr>
        </w:div>
      </w:divsChild>
    </w:div>
    <w:div w:id="1325551485">
      <w:bodyDiv w:val="1"/>
      <w:marLeft w:val="0"/>
      <w:marRight w:val="0"/>
      <w:marTop w:val="0"/>
      <w:marBottom w:val="0"/>
      <w:divBdr>
        <w:top w:val="none" w:sz="0" w:space="0" w:color="auto"/>
        <w:left w:val="none" w:sz="0" w:space="0" w:color="auto"/>
        <w:bottom w:val="none" w:sz="0" w:space="0" w:color="auto"/>
        <w:right w:val="none" w:sz="0" w:space="0" w:color="auto"/>
      </w:divBdr>
      <w:divsChild>
        <w:div w:id="1942686546">
          <w:marLeft w:val="0"/>
          <w:marRight w:val="0"/>
          <w:marTop w:val="0"/>
          <w:marBottom w:val="0"/>
          <w:divBdr>
            <w:top w:val="none" w:sz="0" w:space="0" w:color="auto"/>
            <w:left w:val="none" w:sz="0" w:space="0" w:color="auto"/>
            <w:bottom w:val="none" w:sz="0" w:space="0" w:color="auto"/>
            <w:right w:val="none" w:sz="0" w:space="0" w:color="auto"/>
          </w:divBdr>
        </w:div>
      </w:divsChild>
    </w:div>
    <w:div w:id="1443375574">
      <w:bodyDiv w:val="1"/>
      <w:marLeft w:val="0"/>
      <w:marRight w:val="0"/>
      <w:marTop w:val="0"/>
      <w:marBottom w:val="0"/>
      <w:divBdr>
        <w:top w:val="none" w:sz="0" w:space="0" w:color="auto"/>
        <w:left w:val="none" w:sz="0" w:space="0" w:color="auto"/>
        <w:bottom w:val="none" w:sz="0" w:space="0" w:color="auto"/>
        <w:right w:val="none" w:sz="0" w:space="0" w:color="auto"/>
      </w:divBdr>
      <w:divsChild>
        <w:div w:id="318922183">
          <w:marLeft w:val="0"/>
          <w:marRight w:val="0"/>
          <w:marTop w:val="0"/>
          <w:marBottom w:val="0"/>
          <w:divBdr>
            <w:top w:val="none" w:sz="0" w:space="0" w:color="auto"/>
            <w:left w:val="none" w:sz="0" w:space="0" w:color="auto"/>
            <w:bottom w:val="none" w:sz="0" w:space="0" w:color="auto"/>
            <w:right w:val="none" w:sz="0" w:space="0" w:color="auto"/>
          </w:divBdr>
        </w:div>
        <w:div w:id="1442989243">
          <w:marLeft w:val="0"/>
          <w:marRight w:val="0"/>
          <w:marTop w:val="0"/>
          <w:marBottom w:val="0"/>
          <w:divBdr>
            <w:top w:val="none" w:sz="0" w:space="0" w:color="auto"/>
            <w:left w:val="none" w:sz="0" w:space="0" w:color="auto"/>
            <w:bottom w:val="none" w:sz="0" w:space="0" w:color="auto"/>
            <w:right w:val="none" w:sz="0" w:space="0" w:color="auto"/>
          </w:divBdr>
        </w:div>
      </w:divsChild>
    </w:div>
    <w:div w:id="1578204117">
      <w:bodyDiv w:val="1"/>
      <w:marLeft w:val="0"/>
      <w:marRight w:val="0"/>
      <w:marTop w:val="0"/>
      <w:marBottom w:val="0"/>
      <w:divBdr>
        <w:top w:val="none" w:sz="0" w:space="0" w:color="auto"/>
        <w:left w:val="none" w:sz="0" w:space="0" w:color="auto"/>
        <w:bottom w:val="none" w:sz="0" w:space="0" w:color="auto"/>
        <w:right w:val="none" w:sz="0" w:space="0" w:color="auto"/>
      </w:divBdr>
      <w:divsChild>
        <w:div w:id="654920830">
          <w:marLeft w:val="0"/>
          <w:marRight w:val="0"/>
          <w:marTop w:val="0"/>
          <w:marBottom w:val="0"/>
          <w:divBdr>
            <w:top w:val="none" w:sz="0" w:space="0" w:color="auto"/>
            <w:left w:val="none" w:sz="0" w:space="0" w:color="auto"/>
            <w:bottom w:val="none" w:sz="0" w:space="0" w:color="auto"/>
            <w:right w:val="none" w:sz="0" w:space="0" w:color="auto"/>
          </w:divBdr>
        </w:div>
        <w:div w:id="28049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wc.com/us/en/risk-compliance/assets/PwC_PoliticalRisk_052006.pdf" TargetMode="External"/><Relationship Id="rId3" Type="http://schemas.openxmlformats.org/officeDocument/2006/relationships/settings" Target="settings.xml"/><Relationship Id="rId7" Type="http://schemas.openxmlformats.org/officeDocument/2006/relationships/hyperlink" Target="http://www.census.gov/foreign-trade/aes/exporttraining/video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desjardins.com/en/entreprises/solutions/services-internationaux/devises-etrangeres/ge-risque-change.pdf" TargetMode="External"/><Relationship Id="rId4" Type="http://schemas.openxmlformats.org/officeDocument/2006/relationships/webSettings" Target="webSettings.xml"/><Relationship Id="rId9" Type="http://schemas.openxmlformats.org/officeDocument/2006/relationships/hyperlink" Target="http://frank.mtsu.edu/~berc/global/oldissues/spring97/p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2</cp:revision>
  <dcterms:created xsi:type="dcterms:W3CDTF">2020-08-26T14:21:00Z</dcterms:created>
  <dcterms:modified xsi:type="dcterms:W3CDTF">2020-08-26T14:21:00Z</dcterms:modified>
</cp:coreProperties>
</file>