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E0" w:rsidRPr="00A92BE0" w:rsidRDefault="00A92BE0" w:rsidP="00A92BE0">
      <w:r>
        <w:t xml:space="preserve">TOPIC; </w:t>
      </w:r>
      <w:r w:rsidRPr="00A92BE0">
        <w:t>The role of nutrition in health-related conditions</w:t>
      </w:r>
    </w:p>
    <w:p w:rsidR="00A92BE0" w:rsidRDefault="00A92BE0" w:rsidP="00A92BE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A92BE0" w:rsidRDefault="00A92BE0" w:rsidP="00A92BE0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Follow instructions and marking grid; primary sources required;</w:t>
      </w:r>
    </w:p>
    <w:p w:rsidR="00B97280" w:rsidRDefault="00B97280">
      <w:bookmarkStart w:id="0" w:name="_GoBack"/>
      <w:bookmarkEnd w:id="0"/>
    </w:p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E0"/>
    <w:rsid w:val="00A92BE0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530B"/>
  <w15:chartTrackingRefBased/>
  <w15:docId w15:val="{E1B6AEAD-7647-4F6F-8FC8-743B7BEE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2BE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BE0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92BE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A92BE0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2020-08-04T09:25:00Z</dcterms:created>
  <dcterms:modified xsi:type="dcterms:W3CDTF">2020-08-04T09:25:00Z</dcterms:modified>
</cp:coreProperties>
</file>