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E4B54" w14:textId="5DB52583" w:rsidR="00A40D17" w:rsidRDefault="0060715C" w:rsidP="00A40D17">
      <w:pPr>
        <w:shd w:val="clear" w:color="auto" w:fill="F3F3F3"/>
        <w:spacing w:after="0" w:line="240" w:lineRule="auto"/>
        <w:outlineLvl w:val="3"/>
        <w:rPr>
          <w:rFonts w:ascii="inherit" w:eastAsia="Times New Roman" w:hAnsi="inherit" w:cs="Times New Roman"/>
          <w:color w:val="003E51"/>
          <w:sz w:val="24"/>
          <w:szCs w:val="24"/>
          <w:lang w:eastAsia="en-CA"/>
        </w:rPr>
      </w:pPr>
      <w:hyperlink r:id="rId5" w:anchor="bootstrapelements49966" w:history="1">
        <w:r w:rsidR="00A40D17" w:rsidRPr="00A40D17">
          <w:rPr>
            <w:rFonts w:ascii="inherit" w:eastAsia="Times New Roman" w:hAnsi="inherit" w:cs="Times New Roman"/>
            <w:color w:val="1177D1"/>
            <w:sz w:val="24"/>
            <w:szCs w:val="24"/>
            <w:u w:val="single"/>
            <w:lang w:eastAsia="en-CA"/>
          </w:rPr>
          <w:t>Assignment 1: Measuring Dimensions of Organizations (5%)</w:t>
        </w:r>
      </w:hyperlink>
    </w:p>
    <w:p w14:paraId="096CFEDD" w14:textId="357A29D2" w:rsidR="00A40D17" w:rsidRDefault="00A40D17" w:rsidP="00A40D17">
      <w:pPr>
        <w:shd w:val="clear" w:color="auto" w:fill="F3F3F3"/>
        <w:spacing w:after="0" w:line="240" w:lineRule="auto"/>
        <w:outlineLvl w:val="3"/>
        <w:rPr>
          <w:rFonts w:ascii="inherit" w:eastAsia="Times New Roman" w:hAnsi="inherit" w:cs="Times New Roman"/>
          <w:color w:val="003E51"/>
          <w:sz w:val="24"/>
          <w:szCs w:val="24"/>
          <w:lang w:eastAsia="en-CA"/>
        </w:rPr>
      </w:pPr>
    </w:p>
    <w:p w14:paraId="5AA624FC" w14:textId="77777777" w:rsidR="00A40D17" w:rsidRPr="00A40D17" w:rsidRDefault="00A40D17" w:rsidP="00A40D17">
      <w:pPr>
        <w:shd w:val="clear" w:color="auto" w:fill="F3F3F3"/>
        <w:spacing w:after="0" w:line="240" w:lineRule="auto"/>
        <w:outlineLvl w:val="3"/>
        <w:rPr>
          <w:rFonts w:ascii="inherit" w:eastAsia="Times New Roman" w:hAnsi="inherit" w:cs="Times New Roman"/>
          <w:color w:val="003E51"/>
          <w:sz w:val="24"/>
          <w:szCs w:val="24"/>
          <w:lang w:eastAsia="en-CA"/>
        </w:rPr>
      </w:pPr>
    </w:p>
    <w:p w14:paraId="0F7CBCF5" w14:textId="77777777" w:rsidR="00A40D17" w:rsidRPr="00A40D17" w:rsidRDefault="00A40D17" w:rsidP="00A40D17">
      <w:pPr>
        <w:shd w:val="clear" w:color="auto" w:fill="F3F3F3"/>
        <w:spacing w:after="100" w:afterAutospacing="1" w:line="240" w:lineRule="auto"/>
        <w:rPr>
          <w:rFonts w:ascii="Arial" w:eastAsia="Times New Roman" w:hAnsi="Arial" w:cs="Arial"/>
          <w:color w:val="2D2D2D"/>
          <w:sz w:val="28"/>
          <w:szCs w:val="28"/>
          <w:lang w:eastAsia="en-CA"/>
        </w:rPr>
      </w:pPr>
      <w:r w:rsidRPr="00A40D17">
        <w:rPr>
          <w:rFonts w:ascii="Arial" w:eastAsia="Times New Roman" w:hAnsi="Arial" w:cs="Arial"/>
          <w:color w:val="2D2D2D"/>
          <w:sz w:val="28"/>
          <w:szCs w:val="28"/>
          <w:lang w:eastAsia="en-CA"/>
        </w:rPr>
        <w:t>In your first assignment, select two distinct organizations with which you are familiar because you have worked there, have been a customer, or are involved with as a church member, a volunteer, a university student, etc. Evaluate, independently, each of these organizations by using the rating scales in your textbook (Daft &amp; Armstrong, 2015, p. 39).</w:t>
      </w:r>
    </w:p>
    <w:p w14:paraId="3F69C05F" w14:textId="77777777" w:rsidR="00A40D17" w:rsidRPr="00A40D17" w:rsidRDefault="00A40D17" w:rsidP="00A40D17">
      <w:pPr>
        <w:shd w:val="clear" w:color="auto" w:fill="F3F3F3"/>
        <w:spacing w:after="100" w:afterAutospacing="1" w:line="240" w:lineRule="auto"/>
        <w:rPr>
          <w:rFonts w:ascii="Arial" w:eastAsia="Times New Roman" w:hAnsi="Arial" w:cs="Arial"/>
          <w:color w:val="2D2D2D"/>
          <w:sz w:val="28"/>
          <w:szCs w:val="28"/>
          <w:lang w:eastAsia="en-CA"/>
        </w:rPr>
      </w:pPr>
      <w:r w:rsidRPr="00A40D17">
        <w:rPr>
          <w:rFonts w:ascii="Arial" w:eastAsia="Times New Roman" w:hAnsi="Arial" w:cs="Arial"/>
          <w:color w:val="2D2D2D"/>
          <w:sz w:val="28"/>
          <w:szCs w:val="28"/>
          <w:lang w:eastAsia="en-CA"/>
        </w:rPr>
        <w:t>Next, please respond to these two questions:</w:t>
      </w:r>
    </w:p>
    <w:p w14:paraId="5705CD49" w14:textId="77777777" w:rsidR="00A40D17" w:rsidRPr="00A40D17" w:rsidRDefault="00A40D17" w:rsidP="00A40D17">
      <w:pPr>
        <w:numPr>
          <w:ilvl w:val="0"/>
          <w:numId w:val="1"/>
        </w:numPr>
        <w:shd w:val="clear" w:color="auto" w:fill="F3F3F3"/>
        <w:spacing w:after="100" w:afterAutospacing="1" w:line="240" w:lineRule="auto"/>
        <w:ind w:left="540" w:right="240"/>
        <w:rPr>
          <w:rFonts w:ascii="Arial" w:eastAsia="Times New Roman" w:hAnsi="Arial" w:cs="Arial"/>
          <w:color w:val="2D2D2D"/>
          <w:sz w:val="28"/>
          <w:szCs w:val="28"/>
          <w:lang w:eastAsia="en-CA"/>
        </w:rPr>
      </w:pPr>
      <w:r w:rsidRPr="00A40D17">
        <w:rPr>
          <w:rFonts w:ascii="Arial" w:eastAsia="Times New Roman" w:hAnsi="Arial" w:cs="Arial"/>
          <w:color w:val="2D2D2D"/>
          <w:sz w:val="28"/>
          <w:szCs w:val="28"/>
          <w:lang w:eastAsia="en-CA"/>
        </w:rPr>
        <w:t>Describe the strategic focus of each of these organizations. Consider if they are efficiency oriented, flexible and learning oriented, or a blended form. Also, consider if they offer a standardized or a tailored service and/or product, or something in the middle. Are these organizations different in terms of their strategic focus?</w:t>
      </w:r>
    </w:p>
    <w:p w14:paraId="14A13C05" w14:textId="77777777" w:rsidR="00A40D17" w:rsidRPr="00A40D17" w:rsidRDefault="00A40D17" w:rsidP="00A40D17">
      <w:pPr>
        <w:numPr>
          <w:ilvl w:val="0"/>
          <w:numId w:val="1"/>
        </w:numPr>
        <w:shd w:val="clear" w:color="auto" w:fill="F3F3F3"/>
        <w:spacing w:after="100" w:afterAutospacing="1" w:line="240" w:lineRule="auto"/>
        <w:ind w:left="540" w:right="240"/>
        <w:rPr>
          <w:rFonts w:ascii="Arial" w:eastAsia="Times New Roman" w:hAnsi="Arial" w:cs="Arial"/>
          <w:color w:val="2D2D2D"/>
          <w:sz w:val="28"/>
          <w:szCs w:val="28"/>
          <w:lang w:eastAsia="en-CA"/>
        </w:rPr>
      </w:pPr>
      <w:r w:rsidRPr="00A40D17">
        <w:rPr>
          <w:rFonts w:ascii="Arial" w:eastAsia="Times New Roman" w:hAnsi="Arial" w:cs="Arial"/>
          <w:color w:val="2D2D2D"/>
          <w:sz w:val="28"/>
          <w:szCs w:val="28"/>
          <w:lang w:eastAsia="en-CA"/>
        </w:rPr>
        <w:t>Do these companies differ in ratings on any of their scales? Try to explain the link between the differences you found in question 1 (i.e. strategic focus) and the differences in their ratings.</w:t>
      </w:r>
    </w:p>
    <w:p w14:paraId="08883EC5" w14:textId="77777777" w:rsidR="00A40D17" w:rsidRPr="00A40D17" w:rsidRDefault="00A40D17" w:rsidP="00A40D17">
      <w:pPr>
        <w:shd w:val="clear" w:color="auto" w:fill="F3F3F3"/>
        <w:spacing w:after="100" w:afterAutospacing="1" w:line="240" w:lineRule="auto"/>
        <w:rPr>
          <w:rFonts w:ascii="Arial" w:eastAsia="Times New Roman" w:hAnsi="Arial" w:cs="Arial"/>
          <w:color w:val="2D2D2D"/>
          <w:sz w:val="28"/>
          <w:szCs w:val="28"/>
          <w:lang w:eastAsia="en-CA"/>
        </w:rPr>
      </w:pPr>
      <w:r w:rsidRPr="00A40D17">
        <w:rPr>
          <w:rFonts w:ascii="Arial" w:eastAsia="Times New Roman" w:hAnsi="Arial" w:cs="Arial"/>
          <w:color w:val="2D2D2D"/>
          <w:sz w:val="28"/>
          <w:szCs w:val="28"/>
          <w:lang w:eastAsia="en-CA"/>
        </w:rPr>
        <w:t>While we will be covering the dimensions of organizations in more detail during other modules, this assignment will help you see the big picture of how the elements of organization design vary from one organization to another.</w:t>
      </w:r>
    </w:p>
    <w:p w14:paraId="6DDCD2D2" w14:textId="77777777" w:rsidR="00A40D17" w:rsidRPr="00A40D17" w:rsidRDefault="00A40D17" w:rsidP="00A40D17">
      <w:pPr>
        <w:shd w:val="clear" w:color="auto" w:fill="F3F3F3"/>
        <w:spacing w:after="100" w:afterAutospacing="1" w:line="240" w:lineRule="auto"/>
        <w:rPr>
          <w:rFonts w:ascii="Arial" w:eastAsia="Times New Roman" w:hAnsi="Arial" w:cs="Arial"/>
          <w:color w:val="2D2D2D"/>
          <w:sz w:val="28"/>
          <w:szCs w:val="28"/>
          <w:lang w:eastAsia="en-CA"/>
        </w:rPr>
      </w:pPr>
      <w:r w:rsidRPr="00A40D17">
        <w:rPr>
          <w:rFonts w:ascii="Arial" w:eastAsia="Times New Roman" w:hAnsi="Arial" w:cs="Arial"/>
          <w:color w:val="2D2D2D"/>
          <w:sz w:val="28"/>
          <w:szCs w:val="28"/>
          <w:lang w:eastAsia="en-CA"/>
        </w:rPr>
        <w:t>Each answer should be 300–350 words long. Use APA referencing.</w:t>
      </w:r>
    </w:p>
    <w:p w14:paraId="4B90B887" w14:textId="77777777" w:rsidR="00A40D17" w:rsidRPr="00A40D17" w:rsidRDefault="00A40D17" w:rsidP="00A40D17">
      <w:pPr>
        <w:shd w:val="clear" w:color="auto" w:fill="F3F3F3"/>
        <w:spacing w:after="100" w:afterAutospacing="1" w:line="240" w:lineRule="auto"/>
        <w:rPr>
          <w:rFonts w:ascii="Arial" w:eastAsia="Times New Roman" w:hAnsi="Arial" w:cs="Arial"/>
          <w:color w:val="2D2D2D"/>
          <w:sz w:val="28"/>
          <w:szCs w:val="28"/>
          <w:lang w:eastAsia="en-CA"/>
        </w:rPr>
      </w:pPr>
      <w:r w:rsidRPr="00A40D17">
        <w:rPr>
          <w:rFonts w:ascii="Arial" w:eastAsia="Times New Roman" w:hAnsi="Arial" w:cs="Arial"/>
          <w:color w:val="2D2D2D"/>
          <w:sz w:val="28"/>
          <w:szCs w:val="28"/>
          <w:lang w:eastAsia="en-CA"/>
        </w:rPr>
        <w:t>We recommend that you submit this assignment to your Open Learning Faculty Member at the end of Module 1.</w:t>
      </w:r>
    </w:p>
    <w:p w14:paraId="0A03DECD" w14:textId="1FB292B3" w:rsidR="00A40D17" w:rsidRDefault="00A40D17" w:rsidP="00A40D17">
      <w:pPr>
        <w:shd w:val="clear" w:color="auto" w:fill="F3F3F3"/>
        <w:spacing w:after="100" w:afterAutospacing="1" w:line="240" w:lineRule="auto"/>
        <w:rPr>
          <w:rFonts w:ascii="Arial" w:eastAsia="Times New Roman" w:hAnsi="Arial" w:cs="Arial"/>
          <w:color w:val="2D2D2D"/>
          <w:sz w:val="28"/>
          <w:szCs w:val="28"/>
          <w:lang w:eastAsia="en-CA"/>
        </w:rPr>
      </w:pPr>
      <w:r w:rsidRPr="00A40D17">
        <w:rPr>
          <w:rFonts w:ascii="Arial" w:eastAsia="Times New Roman" w:hAnsi="Arial" w:cs="Arial"/>
          <w:color w:val="2D2D2D"/>
          <w:sz w:val="28"/>
          <w:szCs w:val="28"/>
          <w:lang w:eastAsia="en-CA"/>
        </w:rPr>
        <w:t>Please use the rubric below to guide your writing.</w:t>
      </w:r>
    </w:p>
    <w:p w14:paraId="20B2ABEE" w14:textId="57FC8055" w:rsidR="0060715C" w:rsidRDefault="0060715C" w:rsidP="00A40D17">
      <w:pPr>
        <w:shd w:val="clear" w:color="auto" w:fill="F3F3F3"/>
        <w:spacing w:after="100" w:afterAutospacing="1" w:line="240" w:lineRule="auto"/>
        <w:rPr>
          <w:rFonts w:ascii="Arial" w:eastAsia="Times New Roman" w:hAnsi="Arial" w:cs="Arial"/>
          <w:color w:val="2D2D2D"/>
          <w:sz w:val="28"/>
          <w:szCs w:val="28"/>
          <w:lang w:eastAsia="en-CA"/>
        </w:rPr>
      </w:pPr>
    </w:p>
    <w:p w14:paraId="0CD42389" w14:textId="4163EC67" w:rsidR="0060715C" w:rsidRDefault="0060715C" w:rsidP="00A40D17">
      <w:pPr>
        <w:shd w:val="clear" w:color="auto" w:fill="F3F3F3"/>
        <w:spacing w:after="100" w:afterAutospacing="1" w:line="240" w:lineRule="auto"/>
        <w:rPr>
          <w:rFonts w:ascii="Arial" w:eastAsia="Times New Roman" w:hAnsi="Arial" w:cs="Arial"/>
          <w:color w:val="2D2D2D"/>
          <w:sz w:val="28"/>
          <w:szCs w:val="28"/>
          <w:lang w:eastAsia="en-CA"/>
        </w:rPr>
      </w:pPr>
    </w:p>
    <w:p w14:paraId="3170F6A6" w14:textId="55B2FFDE" w:rsidR="0060715C" w:rsidRDefault="0060715C" w:rsidP="00A40D17">
      <w:pPr>
        <w:shd w:val="clear" w:color="auto" w:fill="F3F3F3"/>
        <w:spacing w:after="100" w:afterAutospacing="1" w:line="240" w:lineRule="auto"/>
        <w:rPr>
          <w:rFonts w:ascii="Arial" w:eastAsia="Times New Roman" w:hAnsi="Arial" w:cs="Arial"/>
          <w:color w:val="2D2D2D"/>
          <w:sz w:val="28"/>
          <w:szCs w:val="28"/>
          <w:lang w:eastAsia="en-CA"/>
        </w:rPr>
      </w:pPr>
    </w:p>
    <w:p w14:paraId="1D8B1DC0" w14:textId="7D011BEC" w:rsidR="0060715C" w:rsidRDefault="0060715C" w:rsidP="0060715C"/>
    <w:p w14:paraId="2E993063" w14:textId="77777777" w:rsidR="0060715C" w:rsidRPr="0060715C" w:rsidRDefault="0060715C" w:rsidP="0060715C"/>
    <w:tbl>
      <w:tblPr>
        <w:tblW w:w="10276" w:type="dxa"/>
        <w:tblBorders>
          <w:top w:val="single" w:sz="6" w:space="0" w:color="7784A4"/>
          <w:left w:val="single" w:sz="6" w:space="0" w:color="7784A4"/>
          <w:bottom w:val="single" w:sz="6" w:space="0" w:color="7784A4"/>
          <w:right w:val="single" w:sz="6" w:space="0" w:color="7784A4"/>
        </w:tblBorders>
        <w:tblCellMar>
          <w:top w:w="72" w:type="dxa"/>
          <w:left w:w="72" w:type="dxa"/>
          <w:bottom w:w="72" w:type="dxa"/>
          <w:right w:w="72" w:type="dxa"/>
        </w:tblCellMar>
        <w:tblLook w:val="04A0" w:firstRow="1" w:lastRow="0" w:firstColumn="1" w:lastColumn="0" w:noHBand="0" w:noVBand="1"/>
        <w:tblDescription w:val=""/>
      </w:tblPr>
      <w:tblGrid>
        <w:gridCol w:w="1697"/>
        <w:gridCol w:w="1838"/>
        <w:gridCol w:w="1982"/>
        <w:gridCol w:w="1930"/>
        <w:gridCol w:w="1900"/>
        <w:gridCol w:w="929"/>
      </w:tblGrid>
      <w:tr w:rsidR="0060715C" w:rsidRPr="0060715C" w14:paraId="579280C5" w14:textId="77777777" w:rsidTr="0060715C">
        <w:trPr>
          <w:trHeight w:val="864"/>
        </w:trPr>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68F25944" w14:textId="77777777" w:rsidR="0060715C" w:rsidRPr="0060715C" w:rsidRDefault="0060715C" w:rsidP="0060715C">
            <w:r w:rsidRPr="0060715C">
              <w:lastRenderedPageBreak/>
              <w:t> </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345783A9" w14:textId="77777777" w:rsidR="0060715C" w:rsidRPr="0060715C" w:rsidRDefault="0060715C" w:rsidP="0060715C">
            <w:r w:rsidRPr="0060715C">
              <w:rPr>
                <w:b/>
                <w:bCs/>
              </w:rPr>
              <w:t>Excellent</w:t>
            </w:r>
          </w:p>
          <w:p w14:paraId="1C62AAD6" w14:textId="77777777" w:rsidR="0060715C" w:rsidRPr="0060715C" w:rsidRDefault="0060715C" w:rsidP="0060715C">
            <w:r w:rsidRPr="0060715C">
              <w:rPr>
                <w:b/>
                <w:bCs/>
              </w:rPr>
              <w:t>5 points</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10408F50" w14:textId="77777777" w:rsidR="0060715C" w:rsidRPr="0060715C" w:rsidRDefault="0060715C" w:rsidP="0060715C">
            <w:r w:rsidRPr="0060715C">
              <w:rPr>
                <w:b/>
                <w:bCs/>
              </w:rPr>
              <w:t>Good</w:t>
            </w:r>
          </w:p>
          <w:p w14:paraId="17C6B30D" w14:textId="77777777" w:rsidR="0060715C" w:rsidRPr="0060715C" w:rsidRDefault="0060715C" w:rsidP="0060715C">
            <w:r w:rsidRPr="0060715C">
              <w:rPr>
                <w:b/>
                <w:bCs/>
              </w:rPr>
              <w:t>4 points</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3CCFBC09" w14:textId="77777777" w:rsidR="0060715C" w:rsidRPr="0060715C" w:rsidRDefault="0060715C" w:rsidP="0060715C">
            <w:r w:rsidRPr="0060715C">
              <w:rPr>
                <w:b/>
                <w:bCs/>
              </w:rPr>
              <w:t>Poor</w:t>
            </w:r>
          </w:p>
          <w:p w14:paraId="086D7599" w14:textId="77777777" w:rsidR="0060715C" w:rsidRPr="0060715C" w:rsidRDefault="0060715C" w:rsidP="0060715C">
            <w:r w:rsidRPr="0060715C">
              <w:rPr>
                <w:b/>
                <w:bCs/>
              </w:rPr>
              <w:t>3 points</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6A451744" w14:textId="77777777" w:rsidR="0060715C" w:rsidRPr="0060715C" w:rsidRDefault="0060715C" w:rsidP="0060715C">
            <w:r w:rsidRPr="0060715C">
              <w:rPr>
                <w:b/>
                <w:bCs/>
              </w:rPr>
              <w:t>Very Poor</w:t>
            </w:r>
          </w:p>
          <w:p w14:paraId="779A7DBE" w14:textId="77777777" w:rsidR="0060715C" w:rsidRPr="0060715C" w:rsidRDefault="0060715C" w:rsidP="0060715C">
            <w:r w:rsidRPr="0060715C">
              <w:rPr>
                <w:b/>
                <w:bCs/>
              </w:rPr>
              <w:t>0–2 points</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7CD6CD64" w14:textId="77777777" w:rsidR="0060715C" w:rsidRPr="0060715C" w:rsidRDefault="0060715C" w:rsidP="0060715C">
            <w:r w:rsidRPr="0060715C">
              <w:rPr>
                <w:b/>
                <w:bCs/>
              </w:rPr>
              <w:t>Total Points</w:t>
            </w:r>
          </w:p>
        </w:tc>
      </w:tr>
      <w:tr w:rsidR="0060715C" w:rsidRPr="0060715C" w14:paraId="3D7CDC2F" w14:textId="77777777" w:rsidTr="0060715C">
        <w:trPr>
          <w:trHeight w:val="1272"/>
        </w:trPr>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2A62E0C1" w14:textId="77777777" w:rsidR="0060715C" w:rsidRPr="0060715C" w:rsidRDefault="0060715C" w:rsidP="0060715C">
            <w:bookmarkStart w:id="0" w:name="_GoBack"/>
            <w:bookmarkEnd w:id="0"/>
            <w:r w:rsidRPr="0060715C">
              <w:rPr>
                <w:b/>
                <w:bCs/>
              </w:rPr>
              <w:t>Comparison of the strategic focus of each organization</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2E552820" w14:textId="77777777" w:rsidR="0060715C" w:rsidRPr="0060715C" w:rsidRDefault="0060715C" w:rsidP="0060715C">
            <w:r w:rsidRPr="0060715C">
              <w:t>Clear arguments to explain the similarities or differences in strategic focus</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13F12F91" w14:textId="77777777" w:rsidR="0060715C" w:rsidRPr="0060715C" w:rsidRDefault="0060715C" w:rsidP="0060715C">
            <w:r w:rsidRPr="0060715C">
              <w:t>The strategic focus of one organization is clearly explained but the other is not, and the comparison is not clear</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26BA7C48" w14:textId="77777777" w:rsidR="0060715C" w:rsidRPr="0060715C" w:rsidRDefault="0060715C" w:rsidP="0060715C">
            <w:r w:rsidRPr="0060715C">
              <w:t>The strategic focus of each organization is poorly explained, and the comparison is poorly done</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5B3EAF3F" w14:textId="77777777" w:rsidR="0060715C" w:rsidRPr="0060715C" w:rsidRDefault="0060715C" w:rsidP="0060715C">
            <w:r w:rsidRPr="0060715C">
              <w:t>The strategic focus of each organization is not explained, and there are not grounds for comparison</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0ED5DC9B" w14:textId="77777777" w:rsidR="0060715C" w:rsidRPr="0060715C" w:rsidRDefault="0060715C" w:rsidP="0060715C">
            <w:r w:rsidRPr="0060715C">
              <w:t>× 10 =</w:t>
            </w:r>
          </w:p>
        </w:tc>
      </w:tr>
      <w:tr w:rsidR="0060715C" w:rsidRPr="0060715C" w14:paraId="6DC5D701" w14:textId="77777777" w:rsidTr="0060715C">
        <w:trPr>
          <w:trHeight w:val="1261"/>
        </w:trPr>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7A17C18D" w14:textId="77777777" w:rsidR="0060715C" w:rsidRPr="0060715C" w:rsidRDefault="0060715C" w:rsidP="0060715C">
            <w:r w:rsidRPr="0060715C">
              <w:rPr>
                <w:b/>
                <w:bCs/>
              </w:rPr>
              <w:t>Link between differences in strategic focus and ratings on scales</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7C692D30" w14:textId="77777777" w:rsidR="0060715C" w:rsidRPr="0060715C" w:rsidRDefault="0060715C" w:rsidP="0060715C">
            <w:r w:rsidRPr="0060715C">
              <w:t>Very clear arguments to explain the differences in scale ratings by explaining the differences in strategic focus</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69F78B16" w14:textId="77777777" w:rsidR="0060715C" w:rsidRPr="0060715C" w:rsidRDefault="0060715C" w:rsidP="0060715C">
            <w:r w:rsidRPr="0060715C">
              <w:t>Somewhat clear arguments to explain the differences in scale ratings by explaining the differences in strategic focus</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589FC68C" w14:textId="77777777" w:rsidR="0060715C" w:rsidRPr="0060715C" w:rsidRDefault="0060715C" w:rsidP="0060715C">
            <w:r w:rsidRPr="0060715C">
              <w:t>Unclear arguments to explain the differences in scale ratings by explaining the differences in strategic focus</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0490D6DC" w14:textId="77777777" w:rsidR="0060715C" w:rsidRPr="0060715C" w:rsidRDefault="0060715C" w:rsidP="0060715C">
            <w:r w:rsidRPr="0060715C">
              <w:t>No arguments to explain the differences in scale ratings by explaining the differences in strategic focus</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438F5BE9" w14:textId="77777777" w:rsidR="0060715C" w:rsidRPr="0060715C" w:rsidRDefault="0060715C" w:rsidP="0060715C">
            <w:r w:rsidRPr="0060715C">
              <w:t>× 10 =</w:t>
            </w:r>
          </w:p>
        </w:tc>
      </w:tr>
      <w:tr w:rsidR="0060715C" w:rsidRPr="0060715C" w14:paraId="6024560F" w14:textId="77777777" w:rsidTr="0060715C">
        <w:trPr>
          <w:trHeight w:val="1424"/>
        </w:trPr>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59D627A4" w14:textId="77777777" w:rsidR="0060715C" w:rsidRPr="0060715C" w:rsidRDefault="0060715C" w:rsidP="0060715C">
            <w:r w:rsidRPr="0060715C">
              <w:t> </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07BB962C" w14:textId="77777777" w:rsidR="0060715C" w:rsidRPr="0060715C" w:rsidRDefault="0060715C" w:rsidP="0060715C">
            <w:r w:rsidRPr="0060715C">
              <w:t> </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427CD66C" w14:textId="77777777" w:rsidR="0060715C" w:rsidRPr="0060715C" w:rsidRDefault="0060715C" w:rsidP="0060715C">
            <w:r w:rsidRPr="0060715C">
              <w:t> </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4A3ACF2A" w14:textId="77777777" w:rsidR="0060715C" w:rsidRPr="0060715C" w:rsidRDefault="0060715C" w:rsidP="0060715C">
            <w:r w:rsidRPr="0060715C">
              <w:t> </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4D2A679B" w14:textId="77777777" w:rsidR="0060715C" w:rsidRPr="0060715C" w:rsidRDefault="0060715C" w:rsidP="0060715C">
            <w:r w:rsidRPr="0060715C">
              <w:t> </w:t>
            </w:r>
          </w:p>
        </w:tc>
        <w:tc>
          <w:tcPr>
            <w:tcW w:w="0" w:type="auto"/>
            <w:tcBorders>
              <w:top w:val="single" w:sz="6" w:space="0" w:color="7784A4"/>
              <w:left w:val="single" w:sz="6" w:space="0" w:color="7784A4"/>
              <w:bottom w:val="single" w:sz="6" w:space="0" w:color="7784A4"/>
              <w:right w:val="single" w:sz="6" w:space="0" w:color="7784A4"/>
            </w:tcBorders>
            <w:tcMar>
              <w:top w:w="75" w:type="dxa"/>
              <w:left w:w="150" w:type="dxa"/>
              <w:bottom w:w="75" w:type="dxa"/>
              <w:right w:w="75" w:type="dxa"/>
            </w:tcMar>
            <w:hideMark/>
          </w:tcPr>
          <w:p w14:paraId="6ED58DFB" w14:textId="77777777" w:rsidR="0060715C" w:rsidRPr="0060715C" w:rsidRDefault="0060715C" w:rsidP="0060715C">
            <w:r w:rsidRPr="0060715C">
              <w:t>Total = ______</w:t>
            </w:r>
          </w:p>
          <w:p w14:paraId="11B4CCE0" w14:textId="77777777" w:rsidR="0060715C" w:rsidRPr="0060715C" w:rsidRDefault="0060715C" w:rsidP="0060715C">
            <w:r w:rsidRPr="0060715C">
              <w:t>(max 100)</w:t>
            </w:r>
          </w:p>
        </w:tc>
      </w:tr>
    </w:tbl>
    <w:p w14:paraId="53E70A4B" w14:textId="77777777" w:rsidR="0060715C" w:rsidRDefault="0060715C"/>
    <w:sectPr w:rsidR="006071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55DCA"/>
    <w:multiLevelType w:val="multilevel"/>
    <w:tmpl w:val="981CD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F2164D"/>
    <w:multiLevelType w:val="multilevel"/>
    <w:tmpl w:val="81F8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17"/>
    <w:rsid w:val="0060715C"/>
    <w:rsid w:val="00A40D17"/>
    <w:rsid w:val="00A478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82AF"/>
  <w15:chartTrackingRefBased/>
  <w15:docId w15:val="{B02BE751-919C-4873-AD5C-ECC71DFA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40D17"/>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0D17"/>
    <w:rPr>
      <w:rFonts w:ascii="Times New Roman" w:eastAsia="Times New Roman" w:hAnsi="Times New Roman" w:cs="Times New Roman"/>
      <w:b/>
      <w:bCs/>
      <w:sz w:val="24"/>
      <w:szCs w:val="24"/>
      <w:lang w:eastAsia="en-CA"/>
    </w:rPr>
  </w:style>
  <w:style w:type="character" w:styleId="Hyperlink">
    <w:name w:val="Hyperlink"/>
    <w:basedOn w:val="DefaultParagraphFont"/>
    <w:uiPriority w:val="99"/>
    <w:unhideWhenUsed/>
    <w:rsid w:val="00A40D17"/>
    <w:rPr>
      <w:color w:val="0000FF"/>
      <w:u w:val="single"/>
    </w:rPr>
  </w:style>
  <w:style w:type="paragraph" w:styleId="NormalWeb">
    <w:name w:val="Normal (Web)"/>
    <w:basedOn w:val="Normal"/>
    <w:uiPriority w:val="99"/>
    <w:semiHidden/>
    <w:unhideWhenUsed/>
    <w:rsid w:val="00A40D1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40D17"/>
    <w:rPr>
      <w:b/>
      <w:bCs/>
    </w:rPr>
  </w:style>
  <w:style w:type="character" w:styleId="UnresolvedMention">
    <w:name w:val="Unresolved Mention"/>
    <w:basedOn w:val="DefaultParagraphFont"/>
    <w:uiPriority w:val="99"/>
    <w:semiHidden/>
    <w:unhideWhenUsed/>
    <w:rsid w:val="00607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8250">
      <w:bodyDiv w:val="1"/>
      <w:marLeft w:val="0"/>
      <w:marRight w:val="0"/>
      <w:marTop w:val="0"/>
      <w:marBottom w:val="0"/>
      <w:divBdr>
        <w:top w:val="none" w:sz="0" w:space="0" w:color="auto"/>
        <w:left w:val="none" w:sz="0" w:space="0" w:color="auto"/>
        <w:bottom w:val="none" w:sz="0" w:space="0" w:color="auto"/>
        <w:right w:val="none" w:sz="0" w:space="0" w:color="auto"/>
      </w:divBdr>
      <w:divsChild>
        <w:div w:id="834419065">
          <w:marLeft w:val="0"/>
          <w:marRight w:val="0"/>
          <w:marTop w:val="0"/>
          <w:marBottom w:val="0"/>
          <w:divBdr>
            <w:top w:val="none" w:sz="0" w:space="0" w:color="auto"/>
            <w:left w:val="none" w:sz="0" w:space="0" w:color="auto"/>
            <w:bottom w:val="none" w:sz="0" w:space="0" w:color="auto"/>
            <w:right w:val="none" w:sz="0" w:space="0" w:color="auto"/>
          </w:divBdr>
          <w:divsChild>
            <w:div w:id="409356161">
              <w:marLeft w:val="0"/>
              <w:marRight w:val="0"/>
              <w:marTop w:val="0"/>
              <w:marBottom w:val="0"/>
              <w:divBdr>
                <w:top w:val="none" w:sz="0" w:space="0" w:color="auto"/>
                <w:left w:val="none" w:sz="0" w:space="0" w:color="auto"/>
                <w:bottom w:val="none" w:sz="0" w:space="0" w:color="auto"/>
                <w:right w:val="none" w:sz="0" w:space="0" w:color="auto"/>
              </w:divBdr>
              <w:divsChild>
                <w:div w:id="4969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3386">
      <w:bodyDiv w:val="1"/>
      <w:marLeft w:val="0"/>
      <w:marRight w:val="0"/>
      <w:marTop w:val="0"/>
      <w:marBottom w:val="0"/>
      <w:divBdr>
        <w:top w:val="none" w:sz="0" w:space="0" w:color="auto"/>
        <w:left w:val="none" w:sz="0" w:space="0" w:color="auto"/>
        <w:bottom w:val="none" w:sz="0" w:space="0" w:color="auto"/>
        <w:right w:val="none" w:sz="0" w:space="0" w:color="auto"/>
      </w:divBdr>
      <w:divsChild>
        <w:div w:id="69543616">
          <w:marLeft w:val="0"/>
          <w:marRight w:val="0"/>
          <w:marTop w:val="0"/>
          <w:marBottom w:val="0"/>
          <w:divBdr>
            <w:top w:val="none" w:sz="0" w:space="0" w:color="auto"/>
            <w:left w:val="none" w:sz="0" w:space="0" w:color="auto"/>
            <w:bottom w:val="none" w:sz="0" w:space="0" w:color="auto"/>
            <w:right w:val="none" w:sz="0" w:space="0" w:color="auto"/>
          </w:divBdr>
          <w:divsChild>
            <w:div w:id="917448820">
              <w:marLeft w:val="0"/>
              <w:marRight w:val="0"/>
              <w:marTop w:val="0"/>
              <w:marBottom w:val="0"/>
              <w:divBdr>
                <w:top w:val="none" w:sz="0" w:space="0" w:color="auto"/>
                <w:left w:val="none" w:sz="0" w:space="0" w:color="auto"/>
                <w:bottom w:val="none" w:sz="0" w:space="0" w:color="auto"/>
                <w:right w:val="none" w:sz="0" w:space="0" w:color="auto"/>
              </w:divBdr>
              <w:divsChild>
                <w:div w:id="318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3006">
      <w:bodyDiv w:val="1"/>
      <w:marLeft w:val="0"/>
      <w:marRight w:val="0"/>
      <w:marTop w:val="0"/>
      <w:marBottom w:val="0"/>
      <w:divBdr>
        <w:top w:val="none" w:sz="0" w:space="0" w:color="auto"/>
        <w:left w:val="none" w:sz="0" w:space="0" w:color="auto"/>
        <w:bottom w:val="none" w:sz="0" w:space="0" w:color="auto"/>
        <w:right w:val="none" w:sz="0" w:space="0" w:color="auto"/>
      </w:divBdr>
      <w:divsChild>
        <w:div w:id="752434463">
          <w:marLeft w:val="0"/>
          <w:marRight w:val="0"/>
          <w:marTop w:val="0"/>
          <w:marBottom w:val="0"/>
          <w:divBdr>
            <w:top w:val="none" w:sz="0" w:space="0" w:color="auto"/>
            <w:left w:val="none" w:sz="0" w:space="0" w:color="auto"/>
            <w:bottom w:val="none" w:sz="0" w:space="0" w:color="auto"/>
            <w:right w:val="none" w:sz="0" w:space="0" w:color="auto"/>
          </w:divBdr>
          <w:divsChild>
            <w:div w:id="1712655655">
              <w:marLeft w:val="0"/>
              <w:marRight w:val="0"/>
              <w:marTop w:val="0"/>
              <w:marBottom w:val="0"/>
              <w:divBdr>
                <w:top w:val="none" w:sz="0" w:space="0" w:color="auto"/>
                <w:left w:val="none" w:sz="0" w:space="0" w:color="auto"/>
                <w:bottom w:val="none" w:sz="0" w:space="0" w:color="auto"/>
                <w:right w:val="none" w:sz="0" w:space="0" w:color="auto"/>
              </w:divBdr>
              <w:divsChild>
                <w:div w:id="2074503561">
                  <w:marLeft w:val="1129"/>
                  <w:marRight w:val="1129"/>
                  <w:marTop w:val="323"/>
                  <w:marBottom w:val="323"/>
                  <w:divBdr>
                    <w:top w:val="single" w:sz="18" w:space="11" w:color="009688"/>
                    <w:left w:val="single" w:sz="18" w:space="11" w:color="009688"/>
                    <w:bottom w:val="single" w:sz="18" w:space="11" w:color="009688"/>
                    <w:right w:val="single" w:sz="18" w:space="11" w:color="009688"/>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odle.tru.ca/course/view.php?id=7886&amp;section=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 Toor</dc:creator>
  <cp:keywords/>
  <dc:description/>
  <cp:lastModifiedBy>Taj Toor</cp:lastModifiedBy>
  <cp:revision>2</cp:revision>
  <dcterms:created xsi:type="dcterms:W3CDTF">2020-08-11T03:19:00Z</dcterms:created>
  <dcterms:modified xsi:type="dcterms:W3CDTF">2020-08-11T03:32:00Z</dcterms:modified>
</cp:coreProperties>
</file>