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230AF" w14:textId="77777777" w:rsidR="00AB3774" w:rsidRPr="0015716C" w:rsidRDefault="00AB3774" w:rsidP="00AB3774">
      <w:pPr>
        <w:pStyle w:val="BodyText"/>
        <w:spacing w:line="276" w:lineRule="auto"/>
        <w:ind w:left="119" w:right="115"/>
        <w:jc w:val="both"/>
        <w:rPr>
          <w:rFonts w:ascii="Cambria" w:hAnsi="Cambria"/>
        </w:rPr>
      </w:pPr>
      <w:r w:rsidRPr="0015716C">
        <w:rPr>
          <w:rFonts w:ascii="Cambria" w:hAnsi="Cambria"/>
        </w:rPr>
        <w:t xml:space="preserve">In January 2020, Johnny is tried by a judge sitting with a jury in the District Court of NSW on one count of Causing Grievous Bodily Harm (s 54 of the </w:t>
      </w:r>
      <w:r w:rsidRPr="0015716C">
        <w:rPr>
          <w:rFonts w:ascii="Cambria" w:hAnsi="Cambria"/>
          <w:i/>
        </w:rPr>
        <w:t xml:space="preserve">Crimes Act 1900 </w:t>
      </w:r>
      <w:r w:rsidRPr="0015716C">
        <w:rPr>
          <w:rFonts w:ascii="Cambria" w:hAnsi="Cambria"/>
        </w:rPr>
        <w:t xml:space="preserve">(NSW) </w:t>
      </w:r>
      <w:r w:rsidRPr="0015716C">
        <w:rPr>
          <w:rFonts w:ascii="Cambria" w:hAnsi="Cambria"/>
          <w:i/>
        </w:rPr>
        <w:t xml:space="preserve">– </w:t>
      </w:r>
      <w:r w:rsidRPr="0015716C">
        <w:rPr>
          <w:rFonts w:ascii="Cambria" w:hAnsi="Cambria"/>
        </w:rPr>
        <w:t>Johnny has elected to have the matter heard by jury).</w:t>
      </w:r>
    </w:p>
    <w:p w14:paraId="719290F9" w14:textId="77777777" w:rsidR="00AB3774" w:rsidRPr="0015716C" w:rsidRDefault="00AB3774" w:rsidP="00AB3774">
      <w:pPr>
        <w:pStyle w:val="BodyText"/>
        <w:spacing w:before="10" w:line="276" w:lineRule="auto"/>
        <w:rPr>
          <w:rFonts w:ascii="Cambria" w:hAnsi="Cambria"/>
        </w:rPr>
      </w:pPr>
    </w:p>
    <w:p w14:paraId="1ED093C6" w14:textId="77777777" w:rsidR="00AB3774" w:rsidRPr="0015716C" w:rsidRDefault="00AB3774" w:rsidP="00AB3774">
      <w:pPr>
        <w:pStyle w:val="BodyText"/>
        <w:spacing w:line="276" w:lineRule="auto"/>
        <w:ind w:left="120" w:right="112"/>
        <w:jc w:val="both"/>
        <w:rPr>
          <w:rFonts w:ascii="Cambria" w:hAnsi="Cambria"/>
        </w:rPr>
      </w:pPr>
      <w:r w:rsidRPr="0015716C">
        <w:rPr>
          <w:rFonts w:ascii="Cambria" w:hAnsi="Cambria"/>
        </w:rPr>
        <w:t xml:space="preserve">The prosecution’s case is that, at about 10.00 am on Saturday, 3 December 2019, Moira drove to the site of a coal seam gas mine in the New England region, near </w:t>
      </w:r>
      <w:proofErr w:type="spellStart"/>
      <w:r w:rsidRPr="0015716C">
        <w:rPr>
          <w:rFonts w:ascii="Cambria" w:hAnsi="Cambria"/>
        </w:rPr>
        <w:t>Armidale</w:t>
      </w:r>
      <w:proofErr w:type="spellEnd"/>
      <w:r w:rsidRPr="0015716C">
        <w:rPr>
          <w:rFonts w:ascii="Cambria" w:hAnsi="Cambria"/>
        </w:rPr>
        <w:t>, owned by Rosebud Mining Ltd (</w:t>
      </w:r>
      <w:r w:rsidRPr="0015716C">
        <w:rPr>
          <w:rFonts w:ascii="Cambria" w:hAnsi="Cambria"/>
          <w:b/>
        </w:rPr>
        <w:t>Rosebud</w:t>
      </w:r>
      <w:r w:rsidRPr="0015716C">
        <w:rPr>
          <w:rFonts w:ascii="Cambria" w:hAnsi="Cambria"/>
        </w:rPr>
        <w:t>). Her six-year old daughter Alexis was in the back seat of the car (Moira is a single mum). Once there, and ignoring the sign saying that trespassing and filming were prohibited, she cut a hole in the fence, entered the property and began filming the mine site with her phone.</w:t>
      </w:r>
    </w:p>
    <w:p w14:paraId="42C1DB63" w14:textId="77777777" w:rsidR="00AB3774" w:rsidRPr="0015716C" w:rsidRDefault="00AB3774" w:rsidP="00AB3774">
      <w:pPr>
        <w:pStyle w:val="BodyText"/>
        <w:spacing w:line="276" w:lineRule="auto"/>
        <w:rPr>
          <w:rFonts w:ascii="Cambria" w:hAnsi="Cambria"/>
        </w:rPr>
      </w:pPr>
    </w:p>
    <w:p w14:paraId="220A313E" w14:textId="77777777" w:rsidR="00AB3774" w:rsidRPr="0015716C" w:rsidRDefault="00AB3774" w:rsidP="00AB3774">
      <w:pPr>
        <w:pStyle w:val="BodyText"/>
        <w:spacing w:line="276" w:lineRule="auto"/>
        <w:ind w:left="120" w:right="116"/>
        <w:jc w:val="both"/>
        <w:rPr>
          <w:rFonts w:ascii="Cambria" w:hAnsi="Cambria"/>
        </w:rPr>
      </w:pPr>
      <w:r w:rsidRPr="0015716C">
        <w:rPr>
          <w:rFonts w:ascii="Cambria" w:hAnsi="Cambria"/>
        </w:rPr>
        <w:t>Johnny, an employee of Rosebud was picnicking at the site on a day off, with his aunt Jocelyn, who also works for Rosebud, and with whom he has lived for the last four years at company housing, and who has been partly supporting him throughout that time financially, and keeping house for him.</w:t>
      </w:r>
    </w:p>
    <w:p w14:paraId="7C0FEDEA" w14:textId="77777777" w:rsidR="00AB3774" w:rsidRPr="0015716C" w:rsidRDefault="00AB3774" w:rsidP="00AB3774">
      <w:pPr>
        <w:pStyle w:val="BodyText"/>
        <w:spacing w:before="10" w:line="276" w:lineRule="auto"/>
        <w:rPr>
          <w:rFonts w:ascii="Cambria" w:hAnsi="Cambria"/>
        </w:rPr>
      </w:pPr>
    </w:p>
    <w:p w14:paraId="0A271469" w14:textId="77777777" w:rsidR="00AB3774" w:rsidRPr="0015716C" w:rsidRDefault="00AB3774" w:rsidP="00AB3774">
      <w:pPr>
        <w:pStyle w:val="BodyText"/>
        <w:spacing w:line="276" w:lineRule="auto"/>
        <w:ind w:left="120" w:right="115"/>
        <w:jc w:val="both"/>
        <w:rPr>
          <w:rFonts w:ascii="Cambria" w:hAnsi="Cambria"/>
        </w:rPr>
      </w:pPr>
      <w:r w:rsidRPr="0015716C">
        <w:rPr>
          <w:rFonts w:ascii="Cambria" w:hAnsi="Cambria"/>
        </w:rPr>
        <w:t>Upon seeing Moira filming the site, Johnny yelled, “</w:t>
      </w:r>
      <w:r w:rsidRPr="0015716C">
        <w:rPr>
          <w:rFonts w:ascii="Cambria" w:hAnsi="Cambria"/>
          <w:i/>
        </w:rPr>
        <w:t>Oi, hippie. What are you doing here?! Get the f**k out of here!</w:t>
      </w:r>
      <w:r w:rsidRPr="0015716C">
        <w:rPr>
          <w:rFonts w:ascii="Cambria" w:hAnsi="Cambria"/>
        </w:rPr>
        <w:t>” Moira made a rude gesture at Johnny and he picked up a small, but sharp rock and threw it at her. The rock hit her in the left eye and she collapsed to the ground. An ambulance was called, but despite surgery Moira was permanently blinded in her left</w:t>
      </w:r>
      <w:r w:rsidRPr="0015716C">
        <w:rPr>
          <w:rFonts w:ascii="Cambria" w:hAnsi="Cambria"/>
          <w:spacing w:val="3"/>
        </w:rPr>
        <w:t xml:space="preserve"> </w:t>
      </w:r>
      <w:r w:rsidRPr="0015716C">
        <w:rPr>
          <w:rFonts w:ascii="Cambria" w:hAnsi="Cambria"/>
        </w:rPr>
        <w:t>eye.</w:t>
      </w:r>
    </w:p>
    <w:p w14:paraId="1846B0ED" w14:textId="77777777" w:rsidR="00AB3774" w:rsidRPr="0015716C" w:rsidRDefault="00AB3774" w:rsidP="00AB3774">
      <w:pPr>
        <w:pStyle w:val="BodyText"/>
        <w:spacing w:line="276" w:lineRule="auto"/>
        <w:rPr>
          <w:rFonts w:ascii="Cambria" w:hAnsi="Cambria"/>
        </w:rPr>
      </w:pPr>
    </w:p>
    <w:p w14:paraId="6AFE3116" w14:textId="77777777" w:rsidR="00AB3774" w:rsidRPr="0015716C" w:rsidRDefault="00AB3774" w:rsidP="00AB3774">
      <w:pPr>
        <w:pStyle w:val="BodyText"/>
        <w:spacing w:line="276" w:lineRule="auto"/>
        <w:ind w:left="121"/>
        <w:jc w:val="both"/>
        <w:rPr>
          <w:rFonts w:ascii="Cambria" w:hAnsi="Cambria"/>
        </w:rPr>
      </w:pPr>
      <w:r w:rsidRPr="0015716C">
        <w:rPr>
          <w:rFonts w:ascii="Cambria" w:hAnsi="Cambria"/>
        </w:rPr>
        <w:t>At the trial:</w:t>
      </w:r>
    </w:p>
    <w:p w14:paraId="34AE13A7" w14:textId="77777777" w:rsidR="00AB3774" w:rsidRPr="0015716C" w:rsidRDefault="00AB3774" w:rsidP="00AB3774">
      <w:pPr>
        <w:pStyle w:val="BodyText"/>
        <w:spacing w:before="11" w:line="276" w:lineRule="auto"/>
        <w:rPr>
          <w:rFonts w:ascii="Cambria" w:hAnsi="Cambria"/>
        </w:rPr>
      </w:pPr>
    </w:p>
    <w:p w14:paraId="1534AE7C" w14:textId="77777777" w:rsidR="00AB3774" w:rsidRPr="0015716C" w:rsidRDefault="00AB3774" w:rsidP="00AB3774">
      <w:pPr>
        <w:pStyle w:val="ListParagraph"/>
        <w:widowControl w:val="0"/>
        <w:numPr>
          <w:ilvl w:val="0"/>
          <w:numId w:val="1"/>
        </w:numPr>
        <w:tabs>
          <w:tab w:val="left" w:pos="688"/>
        </w:tabs>
        <w:autoSpaceDE w:val="0"/>
        <w:autoSpaceDN w:val="0"/>
        <w:spacing w:after="0"/>
        <w:ind w:right="116"/>
        <w:jc w:val="both"/>
        <w:rPr>
          <w:rFonts w:ascii="Cambria" w:hAnsi="Cambria"/>
          <w:sz w:val="24"/>
          <w:szCs w:val="24"/>
        </w:rPr>
      </w:pPr>
      <w:r w:rsidRPr="0015716C">
        <w:rPr>
          <w:rFonts w:ascii="Cambria" w:hAnsi="Cambria"/>
          <w:sz w:val="24"/>
          <w:szCs w:val="24"/>
        </w:rPr>
        <w:t>The prosecution calls Alexis, who says that she doesn’t want to give evidence. The judge disregards this, but prior to Alexis answering any questions, she asks her the following:</w:t>
      </w:r>
    </w:p>
    <w:p w14:paraId="21168318" w14:textId="77777777" w:rsidR="00AB3774" w:rsidRPr="0015716C" w:rsidRDefault="00AB3774" w:rsidP="00AB3774">
      <w:pPr>
        <w:pStyle w:val="BodyText"/>
        <w:spacing w:before="1" w:line="276" w:lineRule="auto"/>
        <w:rPr>
          <w:rFonts w:ascii="Cambria" w:hAnsi="Cambria"/>
        </w:rPr>
      </w:pPr>
    </w:p>
    <w:p w14:paraId="77B00476" w14:textId="77777777" w:rsidR="00AB3774" w:rsidRPr="0015716C" w:rsidRDefault="00AB3774" w:rsidP="00AB3774">
      <w:pPr>
        <w:tabs>
          <w:tab w:val="left" w:pos="1253"/>
        </w:tabs>
        <w:spacing w:line="276" w:lineRule="auto"/>
        <w:ind w:left="1253" w:right="168" w:hanging="567"/>
        <w:rPr>
          <w:rFonts w:ascii="Cambria" w:hAnsi="Cambria"/>
          <w:i/>
        </w:rPr>
      </w:pPr>
      <w:r w:rsidRPr="0015716C">
        <w:rPr>
          <w:rFonts w:ascii="Cambria" w:hAnsi="Cambria"/>
          <w:i/>
        </w:rPr>
        <w:t>Q:</w:t>
      </w:r>
      <w:r w:rsidRPr="0015716C">
        <w:rPr>
          <w:rFonts w:ascii="Cambria" w:hAnsi="Cambria"/>
          <w:i/>
        </w:rPr>
        <w:tab/>
        <w:t>Do you understand that when you answer questions today, the good thing to do is to tell us the truth. But if you don’t know the answer to a question, or you can’t remember it, you can say that to</w:t>
      </w:r>
      <w:r w:rsidRPr="0015716C">
        <w:rPr>
          <w:rFonts w:ascii="Cambria" w:hAnsi="Cambria"/>
          <w:i/>
          <w:spacing w:val="-6"/>
        </w:rPr>
        <w:t xml:space="preserve"> </w:t>
      </w:r>
      <w:r w:rsidRPr="0015716C">
        <w:rPr>
          <w:rFonts w:ascii="Cambria" w:hAnsi="Cambria"/>
          <w:i/>
        </w:rPr>
        <w:t>us.</w:t>
      </w:r>
    </w:p>
    <w:p w14:paraId="36A80D6B" w14:textId="77777777" w:rsidR="00AB3774" w:rsidRPr="0015716C" w:rsidRDefault="00AB3774" w:rsidP="00AB3774">
      <w:pPr>
        <w:tabs>
          <w:tab w:val="left" w:pos="1252"/>
        </w:tabs>
        <w:spacing w:before="81" w:line="276" w:lineRule="auto"/>
        <w:ind w:left="686"/>
        <w:rPr>
          <w:rFonts w:ascii="Cambria" w:hAnsi="Cambria"/>
          <w:i/>
        </w:rPr>
      </w:pPr>
      <w:r w:rsidRPr="0015716C">
        <w:rPr>
          <w:rFonts w:ascii="Cambria" w:hAnsi="Cambria"/>
          <w:i/>
        </w:rPr>
        <w:t>A:</w:t>
      </w:r>
      <w:r w:rsidRPr="0015716C">
        <w:rPr>
          <w:rFonts w:ascii="Cambria" w:hAnsi="Cambria"/>
          <w:i/>
        </w:rPr>
        <w:tab/>
        <w:t>Yes. I see.</w:t>
      </w:r>
    </w:p>
    <w:p w14:paraId="681780BC" w14:textId="77777777" w:rsidR="00AB3774" w:rsidRPr="0015716C" w:rsidRDefault="00AB3774" w:rsidP="00AB3774">
      <w:pPr>
        <w:pStyle w:val="BodyText"/>
        <w:spacing w:line="276" w:lineRule="auto"/>
        <w:rPr>
          <w:rFonts w:ascii="Cambria" w:hAnsi="Cambria"/>
          <w:i/>
        </w:rPr>
      </w:pPr>
    </w:p>
    <w:p w14:paraId="68B29558" w14:textId="77777777" w:rsidR="00AB3774" w:rsidRPr="0015716C" w:rsidRDefault="00AB3774" w:rsidP="00AB3774">
      <w:pPr>
        <w:tabs>
          <w:tab w:val="left" w:pos="1252"/>
        </w:tabs>
        <w:spacing w:before="1" w:line="276" w:lineRule="auto"/>
        <w:ind w:left="1252" w:right="221" w:hanging="567"/>
        <w:rPr>
          <w:rFonts w:ascii="Cambria" w:hAnsi="Cambria"/>
          <w:i/>
        </w:rPr>
      </w:pPr>
      <w:r w:rsidRPr="0015716C">
        <w:rPr>
          <w:rFonts w:ascii="Cambria" w:hAnsi="Cambria"/>
          <w:i/>
        </w:rPr>
        <w:t>Q:</w:t>
      </w:r>
      <w:r w:rsidRPr="0015716C">
        <w:rPr>
          <w:rFonts w:ascii="Cambria" w:hAnsi="Cambria"/>
          <w:i/>
        </w:rPr>
        <w:tab/>
        <w:t>Do you understand that if someone today says to you that something is true, but you don’t think so, then you can say that the person is</w:t>
      </w:r>
      <w:r w:rsidRPr="0015716C">
        <w:rPr>
          <w:rFonts w:ascii="Cambria" w:hAnsi="Cambria"/>
          <w:i/>
          <w:spacing w:val="-15"/>
        </w:rPr>
        <w:t xml:space="preserve"> </w:t>
      </w:r>
      <w:r w:rsidRPr="0015716C">
        <w:rPr>
          <w:rFonts w:ascii="Cambria" w:hAnsi="Cambria"/>
          <w:i/>
        </w:rPr>
        <w:t>wrong?</w:t>
      </w:r>
    </w:p>
    <w:p w14:paraId="26184423" w14:textId="77777777" w:rsidR="00AB3774" w:rsidRPr="0015716C" w:rsidRDefault="00AB3774" w:rsidP="00AB3774">
      <w:pPr>
        <w:tabs>
          <w:tab w:val="left" w:pos="1252"/>
        </w:tabs>
        <w:spacing w:line="276" w:lineRule="auto"/>
        <w:ind w:left="686"/>
        <w:rPr>
          <w:rFonts w:ascii="Cambria" w:hAnsi="Cambria"/>
          <w:i/>
        </w:rPr>
      </w:pPr>
      <w:r w:rsidRPr="0015716C">
        <w:rPr>
          <w:rFonts w:ascii="Cambria" w:hAnsi="Cambria"/>
          <w:i/>
        </w:rPr>
        <w:t>A:</w:t>
      </w:r>
      <w:r w:rsidRPr="0015716C">
        <w:rPr>
          <w:rFonts w:ascii="Cambria" w:hAnsi="Cambria"/>
          <w:i/>
        </w:rPr>
        <w:tab/>
        <w:t>Yes.</w:t>
      </w:r>
    </w:p>
    <w:p w14:paraId="0BFAAD2A" w14:textId="77777777" w:rsidR="00AB3774" w:rsidRPr="0015716C" w:rsidRDefault="00AB3774" w:rsidP="00AB3774">
      <w:pPr>
        <w:pStyle w:val="BodyText"/>
        <w:spacing w:before="1" w:line="276" w:lineRule="auto"/>
        <w:rPr>
          <w:rFonts w:ascii="Cambria" w:hAnsi="Cambria"/>
          <w:i/>
        </w:rPr>
      </w:pPr>
    </w:p>
    <w:p w14:paraId="2AD1CB72" w14:textId="77777777" w:rsidR="00AB3774" w:rsidRPr="0015716C" w:rsidRDefault="00AB3774" w:rsidP="00AB3774">
      <w:pPr>
        <w:pStyle w:val="BodyText"/>
        <w:spacing w:before="1" w:line="276" w:lineRule="auto"/>
        <w:ind w:left="686" w:right="168" w:hanging="1"/>
        <w:rPr>
          <w:rFonts w:ascii="Cambria" w:hAnsi="Cambria"/>
        </w:rPr>
      </w:pPr>
      <w:r w:rsidRPr="0015716C">
        <w:rPr>
          <w:rFonts w:ascii="Cambria" w:hAnsi="Cambria"/>
        </w:rPr>
        <w:lastRenderedPageBreak/>
        <w:t>The judge determines that Alexis is not able to give sworn evidence, but that she can give unsworn evidence. She is not cross-examined.</w:t>
      </w:r>
    </w:p>
    <w:p w14:paraId="4D76AE2D" w14:textId="77777777" w:rsidR="00AB3774" w:rsidRPr="0015716C" w:rsidRDefault="00AB3774" w:rsidP="00AB3774">
      <w:pPr>
        <w:pStyle w:val="BodyText"/>
        <w:spacing w:before="10" w:line="276" w:lineRule="auto"/>
        <w:rPr>
          <w:rFonts w:ascii="Cambria" w:hAnsi="Cambria"/>
        </w:rPr>
      </w:pPr>
    </w:p>
    <w:p w14:paraId="5D04E56A" w14:textId="77777777" w:rsidR="00AB3774" w:rsidRPr="0015716C" w:rsidRDefault="00AB3774" w:rsidP="00AB3774">
      <w:pPr>
        <w:pStyle w:val="ListParagraph"/>
        <w:widowControl w:val="0"/>
        <w:numPr>
          <w:ilvl w:val="0"/>
          <w:numId w:val="1"/>
        </w:numPr>
        <w:tabs>
          <w:tab w:val="left" w:pos="687"/>
        </w:tabs>
        <w:autoSpaceDE w:val="0"/>
        <w:autoSpaceDN w:val="0"/>
        <w:spacing w:after="0"/>
        <w:ind w:left="686" w:right="115" w:hanging="566"/>
        <w:jc w:val="both"/>
        <w:rPr>
          <w:rFonts w:ascii="Cambria" w:hAnsi="Cambria"/>
          <w:sz w:val="24"/>
          <w:szCs w:val="24"/>
        </w:rPr>
      </w:pPr>
      <w:r w:rsidRPr="0015716C">
        <w:rPr>
          <w:rFonts w:ascii="Cambria" w:hAnsi="Cambria"/>
          <w:sz w:val="24"/>
          <w:szCs w:val="24"/>
        </w:rPr>
        <w:t>The prosecution seeks to tender the video taken on Moira’s phone which shows the altercation, but cuts out just before Johnny bent down to pick up the stone. The video also briefly shows a security guard, David, wandering in the background, noticing the incident. David, was approached by Police at the scene, but reeked of alcohol, and looked sleepy, so he was left</w:t>
      </w:r>
      <w:r w:rsidRPr="0015716C">
        <w:rPr>
          <w:rFonts w:ascii="Cambria" w:hAnsi="Cambria"/>
          <w:spacing w:val="-4"/>
          <w:sz w:val="24"/>
          <w:szCs w:val="24"/>
        </w:rPr>
        <w:t xml:space="preserve"> </w:t>
      </w:r>
      <w:r w:rsidRPr="0015716C">
        <w:rPr>
          <w:rFonts w:ascii="Cambria" w:hAnsi="Cambria"/>
          <w:sz w:val="24"/>
          <w:szCs w:val="24"/>
        </w:rPr>
        <w:t>alone.</w:t>
      </w:r>
    </w:p>
    <w:p w14:paraId="1FE1F105" w14:textId="77777777" w:rsidR="00AB3774" w:rsidRPr="0015716C" w:rsidRDefault="00AB3774" w:rsidP="00AB3774">
      <w:pPr>
        <w:pStyle w:val="BodyText"/>
        <w:spacing w:line="276" w:lineRule="auto"/>
        <w:rPr>
          <w:rFonts w:ascii="Cambria" w:hAnsi="Cambria"/>
        </w:rPr>
      </w:pPr>
    </w:p>
    <w:p w14:paraId="39E81AAB" w14:textId="77777777" w:rsidR="00AB3774" w:rsidRPr="0015716C" w:rsidRDefault="00AB3774" w:rsidP="00AB3774">
      <w:pPr>
        <w:pStyle w:val="ListParagraph"/>
        <w:widowControl w:val="0"/>
        <w:numPr>
          <w:ilvl w:val="0"/>
          <w:numId w:val="1"/>
        </w:numPr>
        <w:tabs>
          <w:tab w:val="left" w:pos="687"/>
        </w:tabs>
        <w:autoSpaceDE w:val="0"/>
        <w:autoSpaceDN w:val="0"/>
        <w:spacing w:after="0"/>
        <w:ind w:left="686" w:right="113"/>
        <w:jc w:val="both"/>
        <w:rPr>
          <w:rFonts w:ascii="Cambria" w:hAnsi="Cambria"/>
          <w:sz w:val="24"/>
          <w:szCs w:val="24"/>
        </w:rPr>
      </w:pPr>
      <w:r w:rsidRPr="0015716C">
        <w:rPr>
          <w:rFonts w:ascii="Cambria" w:hAnsi="Cambria"/>
          <w:sz w:val="24"/>
          <w:szCs w:val="24"/>
        </w:rPr>
        <w:t>Jocelyn previously gave a statement to the police setting out the argument and that she saw Johnny throw the rock at Moira. However, when called to give evidence, she says, “</w:t>
      </w:r>
      <w:r w:rsidRPr="0015716C">
        <w:rPr>
          <w:rFonts w:ascii="Cambria" w:hAnsi="Cambria"/>
          <w:i/>
          <w:sz w:val="24"/>
          <w:szCs w:val="24"/>
        </w:rPr>
        <w:t>Do I have to do this?</w:t>
      </w:r>
      <w:r w:rsidRPr="0015716C">
        <w:rPr>
          <w:rFonts w:ascii="Cambria" w:hAnsi="Cambria"/>
          <w:sz w:val="24"/>
          <w:szCs w:val="24"/>
        </w:rPr>
        <w:t>” The prosecutor tells her she does, and continues on. When answering questions about the events of that day, Jocelyn begins to give very evasive answers. The prosecutor immediately begins cross-examining her about the incident. This</w:t>
      </w:r>
      <w:r w:rsidRPr="0015716C">
        <w:rPr>
          <w:rFonts w:ascii="Cambria" w:hAnsi="Cambria"/>
          <w:spacing w:val="1"/>
          <w:sz w:val="24"/>
          <w:szCs w:val="24"/>
        </w:rPr>
        <w:t xml:space="preserve"> </w:t>
      </w:r>
      <w:r w:rsidRPr="0015716C">
        <w:rPr>
          <w:rFonts w:ascii="Cambria" w:hAnsi="Cambria"/>
          <w:sz w:val="24"/>
          <w:szCs w:val="24"/>
        </w:rPr>
        <w:t>includes:</w:t>
      </w:r>
    </w:p>
    <w:p w14:paraId="1853E166" w14:textId="77777777" w:rsidR="00AB3774" w:rsidRPr="0015716C" w:rsidRDefault="00AB3774" w:rsidP="00AB3774">
      <w:pPr>
        <w:pStyle w:val="BodyText"/>
        <w:spacing w:before="9" w:line="276" w:lineRule="auto"/>
        <w:rPr>
          <w:rFonts w:ascii="Cambria" w:hAnsi="Cambria"/>
        </w:rPr>
      </w:pPr>
    </w:p>
    <w:p w14:paraId="64FAC046" w14:textId="77777777" w:rsidR="00AB3774" w:rsidRPr="0015716C" w:rsidRDefault="00AB3774" w:rsidP="00AB3774">
      <w:pPr>
        <w:tabs>
          <w:tab w:val="left" w:pos="1252"/>
        </w:tabs>
        <w:spacing w:line="276" w:lineRule="auto"/>
        <w:ind w:left="1252" w:right="192" w:hanging="567"/>
        <w:rPr>
          <w:rFonts w:ascii="Cambria" w:hAnsi="Cambria"/>
          <w:i/>
        </w:rPr>
      </w:pPr>
      <w:r w:rsidRPr="0015716C">
        <w:rPr>
          <w:rFonts w:ascii="Cambria" w:hAnsi="Cambria"/>
          <w:i/>
        </w:rPr>
        <w:t>Q:</w:t>
      </w:r>
      <w:r w:rsidRPr="0015716C">
        <w:rPr>
          <w:rFonts w:ascii="Cambria" w:hAnsi="Cambria"/>
          <w:i/>
        </w:rPr>
        <w:tab/>
        <w:t>You have previously given a statement that says that the defendant threw a rock at Moira, haven’t</w:t>
      </w:r>
      <w:r w:rsidRPr="0015716C">
        <w:rPr>
          <w:rFonts w:ascii="Cambria" w:hAnsi="Cambria"/>
          <w:i/>
          <w:spacing w:val="1"/>
        </w:rPr>
        <w:t xml:space="preserve"> </w:t>
      </w:r>
      <w:r w:rsidRPr="0015716C">
        <w:rPr>
          <w:rFonts w:ascii="Cambria" w:hAnsi="Cambria"/>
          <w:i/>
        </w:rPr>
        <w:t>you?</w:t>
      </w:r>
    </w:p>
    <w:p w14:paraId="02AF1C71" w14:textId="77777777" w:rsidR="00AB3774" w:rsidRPr="0015716C" w:rsidRDefault="00AB3774" w:rsidP="00AB3774">
      <w:pPr>
        <w:tabs>
          <w:tab w:val="left" w:pos="1253"/>
        </w:tabs>
        <w:spacing w:before="2" w:line="276" w:lineRule="auto"/>
        <w:ind w:left="686"/>
        <w:rPr>
          <w:rFonts w:ascii="Cambria" w:hAnsi="Cambria"/>
          <w:i/>
        </w:rPr>
      </w:pPr>
      <w:r w:rsidRPr="0015716C">
        <w:rPr>
          <w:rFonts w:ascii="Cambria" w:hAnsi="Cambria"/>
          <w:i/>
        </w:rPr>
        <w:t>A:</w:t>
      </w:r>
      <w:r w:rsidRPr="0015716C">
        <w:rPr>
          <w:rFonts w:ascii="Cambria" w:hAnsi="Cambria"/>
          <w:i/>
        </w:rPr>
        <w:tab/>
        <w:t>No.</w:t>
      </w:r>
    </w:p>
    <w:p w14:paraId="12E2DAD1" w14:textId="77777777" w:rsidR="00AB3774" w:rsidRPr="0015716C" w:rsidRDefault="00AB3774" w:rsidP="00AB3774">
      <w:pPr>
        <w:pStyle w:val="BodyText"/>
        <w:spacing w:line="276" w:lineRule="auto"/>
        <w:rPr>
          <w:rFonts w:ascii="Cambria" w:hAnsi="Cambria"/>
          <w:i/>
        </w:rPr>
      </w:pPr>
    </w:p>
    <w:p w14:paraId="23F14D82" w14:textId="77777777" w:rsidR="00AB3774" w:rsidRPr="0015716C" w:rsidRDefault="00AB3774" w:rsidP="00AB3774">
      <w:pPr>
        <w:pStyle w:val="BodyText"/>
        <w:spacing w:before="11" w:line="276" w:lineRule="auto"/>
        <w:rPr>
          <w:rFonts w:ascii="Cambria" w:hAnsi="Cambria"/>
          <w:i/>
        </w:rPr>
      </w:pPr>
    </w:p>
    <w:p w14:paraId="7B374CF0" w14:textId="77777777" w:rsidR="00AB3774" w:rsidRPr="0015716C" w:rsidRDefault="00AB3774" w:rsidP="00AB3774">
      <w:pPr>
        <w:tabs>
          <w:tab w:val="left" w:pos="1253"/>
        </w:tabs>
        <w:spacing w:line="276" w:lineRule="auto"/>
        <w:ind w:left="1252" w:right="168" w:hanging="567"/>
        <w:rPr>
          <w:rFonts w:ascii="Cambria" w:hAnsi="Cambria"/>
        </w:rPr>
      </w:pPr>
      <w:r w:rsidRPr="0015716C">
        <w:rPr>
          <w:rFonts w:ascii="Cambria" w:hAnsi="Cambria"/>
        </w:rPr>
        <w:t>Q:</w:t>
      </w:r>
      <w:r w:rsidRPr="0015716C">
        <w:rPr>
          <w:rFonts w:ascii="Cambria" w:hAnsi="Cambria"/>
        </w:rPr>
        <w:tab/>
      </w:r>
      <w:r w:rsidRPr="0015716C">
        <w:rPr>
          <w:rFonts w:ascii="Cambria" w:hAnsi="Cambria"/>
        </w:rPr>
        <w:tab/>
        <w:t>“</w:t>
      </w:r>
      <w:r w:rsidRPr="0015716C">
        <w:rPr>
          <w:rFonts w:ascii="Cambria" w:hAnsi="Cambria"/>
          <w:i/>
        </w:rPr>
        <w:t>After the accident, the defendant paid off your substantial personal loans, didn’t he?</w:t>
      </w:r>
      <w:r w:rsidRPr="0015716C">
        <w:rPr>
          <w:rFonts w:ascii="Cambria" w:hAnsi="Cambria"/>
        </w:rPr>
        <w:t>”</w:t>
      </w:r>
    </w:p>
    <w:p w14:paraId="138F95CA" w14:textId="77777777" w:rsidR="00AB3774" w:rsidRPr="0015716C" w:rsidRDefault="00AB3774" w:rsidP="00AB3774">
      <w:pPr>
        <w:tabs>
          <w:tab w:val="left" w:pos="1253"/>
        </w:tabs>
        <w:spacing w:line="276" w:lineRule="auto"/>
        <w:ind w:left="686"/>
        <w:rPr>
          <w:rFonts w:ascii="Cambria" w:hAnsi="Cambria"/>
        </w:rPr>
      </w:pPr>
      <w:r w:rsidRPr="0015716C">
        <w:rPr>
          <w:rFonts w:ascii="Cambria" w:hAnsi="Cambria"/>
        </w:rPr>
        <w:t>A:</w:t>
      </w:r>
      <w:r w:rsidRPr="0015716C">
        <w:rPr>
          <w:rFonts w:ascii="Cambria" w:hAnsi="Cambria"/>
        </w:rPr>
        <w:tab/>
        <w:t>“</w:t>
      </w:r>
      <w:r w:rsidRPr="0015716C">
        <w:rPr>
          <w:rFonts w:ascii="Cambria" w:hAnsi="Cambria"/>
          <w:i/>
        </w:rPr>
        <w:t>Maybe. I would have to</w:t>
      </w:r>
      <w:r w:rsidRPr="0015716C">
        <w:rPr>
          <w:rFonts w:ascii="Cambria" w:hAnsi="Cambria"/>
          <w:i/>
          <w:spacing w:val="-4"/>
        </w:rPr>
        <w:t xml:space="preserve"> </w:t>
      </w:r>
      <w:r w:rsidRPr="0015716C">
        <w:rPr>
          <w:rFonts w:ascii="Cambria" w:hAnsi="Cambria"/>
          <w:i/>
        </w:rPr>
        <w:t>check.</w:t>
      </w:r>
      <w:r w:rsidRPr="0015716C">
        <w:rPr>
          <w:rFonts w:ascii="Cambria" w:hAnsi="Cambria"/>
        </w:rPr>
        <w:t>”</w:t>
      </w:r>
    </w:p>
    <w:p w14:paraId="067230F1" w14:textId="77777777" w:rsidR="00AB3774" w:rsidRPr="0015716C" w:rsidRDefault="00AB3774" w:rsidP="00AB3774">
      <w:pPr>
        <w:pStyle w:val="BodyText"/>
        <w:spacing w:line="276" w:lineRule="auto"/>
        <w:rPr>
          <w:rFonts w:ascii="Cambria" w:hAnsi="Cambria"/>
        </w:rPr>
      </w:pPr>
    </w:p>
    <w:p w14:paraId="65CC36C2" w14:textId="77777777" w:rsidR="00AB3774" w:rsidRPr="0015716C" w:rsidRDefault="00AB3774" w:rsidP="00AB3774">
      <w:pPr>
        <w:pStyle w:val="BodyText"/>
        <w:spacing w:before="10" w:line="276" w:lineRule="auto"/>
        <w:rPr>
          <w:rFonts w:ascii="Cambria" w:hAnsi="Cambria"/>
        </w:rPr>
      </w:pPr>
    </w:p>
    <w:p w14:paraId="665DACEE" w14:textId="77777777" w:rsidR="00AB3774" w:rsidRPr="0015716C" w:rsidRDefault="00AB3774" w:rsidP="00AB3774">
      <w:pPr>
        <w:tabs>
          <w:tab w:val="left" w:pos="1253"/>
        </w:tabs>
        <w:spacing w:before="1" w:line="276" w:lineRule="auto"/>
        <w:ind w:left="1253" w:right="553" w:hanging="567"/>
        <w:rPr>
          <w:rFonts w:ascii="Cambria" w:hAnsi="Cambria"/>
          <w:i/>
        </w:rPr>
      </w:pPr>
      <w:r w:rsidRPr="0015716C">
        <w:rPr>
          <w:rFonts w:ascii="Cambria" w:hAnsi="Cambria"/>
          <w:i/>
        </w:rPr>
        <w:t>Q:</w:t>
      </w:r>
      <w:r w:rsidRPr="0015716C">
        <w:rPr>
          <w:rFonts w:ascii="Cambria" w:hAnsi="Cambria"/>
          <w:i/>
        </w:rPr>
        <w:tab/>
        <w:t>“You are lying, aren’t you? You are just covering up for the defendant, aren’t you? You are nothing but a</w:t>
      </w:r>
      <w:r w:rsidRPr="0015716C">
        <w:rPr>
          <w:rFonts w:ascii="Cambria" w:hAnsi="Cambria"/>
          <w:i/>
          <w:spacing w:val="-5"/>
        </w:rPr>
        <w:t xml:space="preserve"> </w:t>
      </w:r>
      <w:r w:rsidRPr="0015716C">
        <w:rPr>
          <w:rFonts w:ascii="Cambria" w:hAnsi="Cambria"/>
          <w:i/>
        </w:rPr>
        <w:t>liar.”</w:t>
      </w:r>
    </w:p>
    <w:p w14:paraId="32C01B5A" w14:textId="77777777" w:rsidR="00AB3774" w:rsidRPr="0015716C" w:rsidRDefault="00AB3774" w:rsidP="00AB3774">
      <w:pPr>
        <w:tabs>
          <w:tab w:val="left" w:pos="1253"/>
        </w:tabs>
        <w:spacing w:line="276" w:lineRule="auto"/>
        <w:ind w:left="686"/>
        <w:rPr>
          <w:rFonts w:ascii="Cambria" w:hAnsi="Cambria"/>
          <w:i/>
        </w:rPr>
      </w:pPr>
      <w:r w:rsidRPr="0015716C">
        <w:rPr>
          <w:rFonts w:ascii="Cambria" w:hAnsi="Cambria"/>
          <w:i/>
        </w:rPr>
        <w:t>A:</w:t>
      </w:r>
      <w:r w:rsidRPr="0015716C">
        <w:rPr>
          <w:rFonts w:ascii="Cambria" w:hAnsi="Cambria"/>
          <w:i/>
        </w:rPr>
        <w:tab/>
        <w:t>“No.”</w:t>
      </w:r>
    </w:p>
    <w:p w14:paraId="0EE60CF6" w14:textId="77777777" w:rsidR="00AB3774" w:rsidRPr="0015716C" w:rsidRDefault="00AB3774" w:rsidP="00AB3774">
      <w:pPr>
        <w:pStyle w:val="BodyText"/>
        <w:spacing w:line="276" w:lineRule="auto"/>
        <w:rPr>
          <w:rFonts w:ascii="Cambria" w:hAnsi="Cambria"/>
          <w:i/>
        </w:rPr>
      </w:pPr>
    </w:p>
    <w:p w14:paraId="2A8BF4DD" w14:textId="77777777" w:rsidR="00AB3774" w:rsidRPr="0015716C" w:rsidRDefault="00AB3774" w:rsidP="00AB3774">
      <w:pPr>
        <w:pStyle w:val="BodyText"/>
        <w:spacing w:before="1" w:line="276" w:lineRule="auto"/>
        <w:rPr>
          <w:rFonts w:ascii="Cambria" w:hAnsi="Cambria"/>
          <w:i/>
        </w:rPr>
      </w:pPr>
    </w:p>
    <w:p w14:paraId="563D7E4D" w14:textId="77777777" w:rsidR="00AB3774" w:rsidRPr="0015716C" w:rsidRDefault="00AB3774" w:rsidP="00AB3774">
      <w:pPr>
        <w:pStyle w:val="BodyText"/>
        <w:spacing w:line="276" w:lineRule="auto"/>
        <w:ind w:left="686" w:right="553"/>
        <w:rPr>
          <w:rFonts w:ascii="Cambria" w:hAnsi="Cambria"/>
        </w:rPr>
      </w:pPr>
      <w:r w:rsidRPr="0015716C">
        <w:rPr>
          <w:rFonts w:ascii="Cambria" w:hAnsi="Cambria"/>
        </w:rPr>
        <w:t>Over objection, the prosecutor then tenders the statement that Jocelyn gave to the police.</w:t>
      </w:r>
    </w:p>
    <w:p w14:paraId="10233CC6" w14:textId="77777777" w:rsidR="00AB3774" w:rsidRPr="0015716C" w:rsidRDefault="00AB3774" w:rsidP="00AB3774">
      <w:pPr>
        <w:pStyle w:val="BodyText"/>
        <w:spacing w:line="276" w:lineRule="auto"/>
        <w:ind w:left="686" w:right="553"/>
        <w:rPr>
          <w:rFonts w:ascii="Cambria" w:hAnsi="Cambria"/>
        </w:rPr>
      </w:pPr>
    </w:p>
    <w:p w14:paraId="32DF2184" w14:textId="77777777" w:rsidR="00AB3774" w:rsidRPr="0015716C" w:rsidRDefault="00AB3774" w:rsidP="00AB3774">
      <w:pPr>
        <w:pStyle w:val="ListParagraph"/>
        <w:widowControl w:val="0"/>
        <w:numPr>
          <w:ilvl w:val="0"/>
          <w:numId w:val="1"/>
        </w:numPr>
        <w:tabs>
          <w:tab w:val="left" w:pos="687"/>
        </w:tabs>
        <w:autoSpaceDE w:val="0"/>
        <w:autoSpaceDN w:val="0"/>
        <w:spacing w:before="81" w:after="0"/>
        <w:ind w:left="686" w:right="117"/>
        <w:jc w:val="both"/>
        <w:rPr>
          <w:rFonts w:ascii="Cambria" w:hAnsi="Cambria"/>
          <w:sz w:val="24"/>
          <w:szCs w:val="24"/>
        </w:rPr>
      </w:pPr>
      <w:r w:rsidRPr="0015716C">
        <w:rPr>
          <w:rFonts w:ascii="Cambria" w:hAnsi="Cambria"/>
          <w:sz w:val="24"/>
          <w:szCs w:val="24"/>
        </w:rPr>
        <w:t>Moira gives evidence that Johnny threw the rock at her. She also gives evidence that he was wearing a T-shirt saying ‘Die, Greenie, Die!” (the camera did not capture this). Over objection this is allowed. She is not</w:t>
      </w:r>
      <w:r w:rsidRPr="0015716C">
        <w:rPr>
          <w:rFonts w:ascii="Cambria" w:hAnsi="Cambria"/>
          <w:spacing w:val="-5"/>
          <w:sz w:val="24"/>
          <w:szCs w:val="24"/>
        </w:rPr>
        <w:t xml:space="preserve"> </w:t>
      </w:r>
      <w:r w:rsidRPr="0015716C">
        <w:rPr>
          <w:rFonts w:ascii="Cambria" w:hAnsi="Cambria"/>
          <w:sz w:val="24"/>
          <w:szCs w:val="24"/>
        </w:rPr>
        <w:t>cross-examined.</w:t>
      </w:r>
    </w:p>
    <w:p w14:paraId="35159786" w14:textId="77777777" w:rsidR="00AB3774" w:rsidRPr="0015716C" w:rsidRDefault="00AB3774" w:rsidP="00AB3774">
      <w:pPr>
        <w:pStyle w:val="BodyText"/>
        <w:spacing w:before="10" w:line="276" w:lineRule="auto"/>
        <w:rPr>
          <w:rFonts w:ascii="Cambria" w:hAnsi="Cambria"/>
        </w:rPr>
      </w:pPr>
    </w:p>
    <w:p w14:paraId="1862CFF7" w14:textId="77777777" w:rsidR="00AB3774" w:rsidRPr="0015716C" w:rsidRDefault="00AB3774" w:rsidP="00AB3774">
      <w:pPr>
        <w:pStyle w:val="ListParagraph"/>
        <w:widowControl w:val="0"/>
        <w:numPr>
          <w:ilvl w:val="0"/>
          <w:numId w:val="1"/>
        </w:numPr>
        <w:tabs>
          <w:tab w:val="left" w:pos="687"/>
        </w:tabs>
        <w:autoSpaceDE w:val="0"/>
        <w:autoSpaceDN w:val="0"/>
        <w:spacing w:after="0"/>
        <w:ind w:left="686" w:right="115"/>
        <w:jc w:val="both"/>
        <w:rPr>
          <w:rFonts w:ascii="Cambria" w:hAnsi="Cambria"/>
          <w:sz w:val="24"/>
          <w:szCs w:val="24"/>
        </w:rPr>
      </w:pPr>
      <w:r w:rsidRPr="0015716C">
        <w:rPr>
          <w:rFonts w:ascii="Cambria" w:hAnsi="Cambria"/>
          <w:sz w:val="24"/>
          <w:szCs w:val="24"/>
        </w:rPr>
        <w:lastRenderedPageBreak/>
        <w:t>Johnny began to give evidence that he didn’t throw a rock. The prosecution objected to this evidence and the judge disallowed the</w:t>
      </w:r>
      <w:r w:rsidRPr="0015716C">
        <w:rPr>
          <w:rFonts w:ascii="Cambria" w:hAnsi="Cambria"/>
          <w:spacing w:val="-8"/>
          <w:sz w:val="24"/>
          <w:szCs w:val="24"/>
        </w:rPr>
        <w:t xml:space="preserve"> </w:t>
      </w:r>
      <w:r w:rsidRPr="0015716C">
        <w:rPr>
          <w:rFonts w:ascii="Cambria" w:hAnsi="Cambria"/>
          <w:sz w:val="24"/>
          <w:szCs w:val="24"/>
        </w:rPr>
        <w:t>evidence.</w:t>
      </w:r>
    </w:p>
    <w:p w14:paraId="21D0F9DE" w14:textId="77777777" w:rsidR="00AB3774" w:rsidRPr="0015716C" w:rsidRDefault="00AB3774" w:rsidP="00AB3774">
      <w:pPr>
        <w:pStyle w:val="BodyText"/>
        <w:spacing w:before="8" w:line="276" w:lineRule="auto"/>
        <w:rPr>
          <w:rFonts w:ascii="Cambria" w:hAnsi="Cambria"/>
        </w:rPr>
      </w:pPr>
    </w:p>
    <w:p w14:paraId="690E89E5" w14:textId="77777777" w:rsidR="00AB3774" w:rsidRPr="0015716C" w:rsidRDefault="00AB3774" w:rsidP="00AB3774">
      <w:pPr>
        <w:pStyle w:val="ListParagraph"/>
        <w:widowControl w:val="0"/>
        <w:numPr>
          <w:ilvl w:val="0"/>
          <w:numId w:val="1"/>
        </w:numPr>
        <w:tabs>
          <w:tab w:val="left" w:pos="686"/>
          <w:tab w:val="left" w:pos="687"/>
        </w:tabs>
        <w:autoSpaceDE w:val="0"/>
        <w:autoSpaceDN w:val="0"/>
        <w:spacing w:after="0"/>
        <w:ind w:left="686" w:hanging="568"/>
        <w:rPr>
          <w:rFonts w:ascii="Cambria" w:hAnsi="Cambria"/>
          <w:sz w:val="24"/>
          <w:szCs w:val="24"/>
        </w:rPr>
      </w:pPr>
      <w:r w:rsidRPr="0015716C">
        <w:rPr>
          <w:rFonts w:ascii="Cambria" w:hAnsi="Cambria"/>
          <w:sz w:val="24"/>
          <w:szCs w:val="24"/>
        </w:rPr>
        <w:t>During her summing up, the judge says to the</w:t>
      </w:r>
      <w:r w:rsidRPr="0015716C">
        <w:rPr>
          <w:rFonts w:ascii="Cambria" w:hAnsi="Cambria"/>
          <w:spacing w:val="-11"/>
          <w:sz w:val="24"/>
          <w:szCs w:val="24"/>
        </w:rPr>
        <w:t xml:space="preserve"> </w:t>
      </w:r>
      <w:r w:rsidRPr="0015716C">
        <w:rPr>
          <w:rFonts w:ascii="Cambria" w:hAnsi="Cambria"/>
          <w:sz w:val="24"/>
          <w:szCs w:val="24"/>
        </w:rPr>
        <w:t>jury:</w:t>
      </w:r>
    </w:p>
    <w:p w14:paraId="6DCD04A2" w14:textId="77777777" w:rsidR="00AB3774" w:rsidRPr="0015716C" w:rsidRDefault="00AB3774" w:rsidP="00AB3774">
      <w:pPr>
        <w:pStyle w:val="BodyText"/>
        <w:spacing w:line="276" w:lineRule="auto"/>
        <w:rPr>
          <w:rFonts w:ascii="Cambria" w:hAnsi="Cambria"/>
        </w:rPr>
      </w:pPr>
    </w:p>
    <w:p w14:paraId="6D37B103" w14:textId="77777777" w:rsidR="00AB3774" w:rsidRPr="0015716C" w:rsidRDefault="00AB3774" w:rsidP="00AB3774">
      <w:pPr>
        <w:spacing w:before="1" w:line="276" w:lineRule="auto"/>
        <w:ind w:left="686" w:right="116"/>
        <w:jc w:val="both"/>
        <w:rPr>
          <w:rFonts w:ascii="Cambria" w:hAnsi="Cambria"/>
          <w:i/>
        </w:rPr>
      </w:pPr>
      <w:r w:rsidRPr="0015716C">
        <w:rPr>
          <w:rFonts w:ascii="Cambria" w:hAnsi="Cambria"/>
        </w:rPr>
        <w:t>“</w:t>
      </w:r>
      <w:r w:rsidRPr="0015716C">
        <w:rPr>
          <w:rFonts w:ascii="Cambria" w:hAnsi="Cambria"/>
          <w:i/>
        </w:rPr>
        <w:t>Your task is to decide whether the Crown has established beyond reasonable doubt all of the facts alleged. This is different to there not being any doubt - a certain amount of doubt is okay. But not a reasonable doubt. Which is like saying that there you are very sure of</w:t>
      </w:r>
      <w:r w:rsidRPr="0015716C">
        <w:rPr>
          <w:rFonts w:ascii="Cambria" w:hAnsi="Cambria"/>
          <w:i/>
          <w:spacing w:val="-6"/>
        </w:rPr>
        <w:t xml:space="preserve"> </w:t>
      </w:r>
      <w:r w:rsidRPr="0015716C">
        <w:rPr>
          <w:rFonts w:ascii="Cambria" w:hAnsi="Cambria"/>
          <w:i/>
        </w:rPr>
        <w:t>guilt.”</w:t>
      </w:r>
    </w:p>
    <w:p w14:paraId="0C8EAB2A" w14:textId="77777777" w:rsidR="00AB3774" w:rsidRPr="0015716C" w:rsidRDefault="00AB3774" w:rsidP="00AB3774">
      <w:pPr>
        <w:pStyle w:val="BodyText"/>
        <w:spacing w:before="9" w:line="276" w:lineRule="auto"/>
        <w:rPr>
          <w:rFonts w:ascii="Cambria" w:hAnsi="Cambria"/>
          <w:i/>
        </w:rPr>
      </w:pPr>
    </w:p>
    <w:p w14:paraId="58493376" w14:textId="77777777" w:rsidR="00AB3774" w:rsidRPr="0015716C" w:rsidRDefault="00AB3774" w:rsidP="00AB3774">
      <w:pPr>
        <w:pStyle w:val="BodyText"/>
        <w:spacing w:line="276" w:lineRule="auto"/>
        <w:ind w:left="120" w:right="168" w:hanging="1"/>
        <w:rPr>
          <w:rFonts w:ascii="Cambria" w:hAnsi="Cambria"/>
          <w:b/>
          <w:bCs/>
        </w:rPr>
      </w:pPr>
      <w:r w:rsidRPr="0015716C">
        <w:rPr>
          <w:rFonts w:ascii="Cambria" w:hAnsi="Cambria"/>
          <w:b/>
          <w:bCs/>
        </w:rPr>
        <w:t>Discuss the evidentiary issues that arise out of the above. In your analysis, you need only consider the topics taught up to, but not including hearsay.</w:t>
      </w:r>
    </w:p>
    <w:p w14:paraId="0B482178" w14:textId="77777777" w:rsidR="00AB3774" w:rsidRDefault="00AB3774" w:rsidP="00AB3774">
      <w:pPr>
        <w:jc w:val="both"/>
        <w:outlineLvl w:val="0"/>
        <w:rPr>
          <w:rFonts w:ascii="Arial" w:hAnsi="Arial" w:cs="Arial"/>
          <w:b/>
          <w:sz w:val="22"/>
          <w:szCs w:val="22"/>
          <w:lang w:val="en-GB"/>
        </w:rPr>
      </w:pPr>
    </w:p>
    <w:p w14:paraId="188CF180" w14:textId="5846CD48" w:rsidR="009A1466" w:rsidRDefault="00131463">
      <w:pPr>
        <w:rPr>
          <w:b/>
          <w:bCs/>
          <w:u w:val="single"/>
        </w:rPr>
      </w:pPr>
      <w:r w:rsidRPr="00131463">
        <w:rPr>
          <w:b/>
          <w:bCs/>
          <w:u w:val="single"/>
        </w:rPr>
        <w:t>Topics Covered so far:</w:t>
      </w:r>
    </w:p>
    <w:p w14:paraId="2F3E2F0E" w14:textId="7F9FF523" w:rsidR="00EE4C46" w:rsidRDefault="00EE4C46">
      <w:pPr>
        <w:rPr>
          <w:b/>
          <w:bCs/>
          <w:u w:val="single"/>
        </w:rPr>
      </w:pPr>
    </w:p>
    <w:p w14:paraId="212E72B2" w14:textId="77777777" w:rsidR="00EE4C46" w:rsidRPr="00EE4C46" w:rsidRDefault="00EE4C46" w:rsidP="00EE4C46">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1.     Introduction</w:t>
      </w:r>
    </w:p>
    <w:p w14:paraId="0DF2CE0B"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Further reading: Hunter et al,</w:t>
      </w:r>
      <w:r w:rsidRPr="00EE4C46">
        <w:rPr>
          <w:rStyle w:val="apple-converted-space"/>
          <w:rFonts w:asciiTheme="minorHAnsi" w:hAnsiTheme="minorHAnsi" w:cstheme="minorHAnsi"/>
          <w:color w:val="2D3B45"/>
          <w:sz w:val="21"/>
          <w:szCs w:val="21"/>
        </w:rPr>
        <w:t> </w:t>
      </w:r>
      <w:r w:rsidRPr="00EE4C46">
        <w:rPr>
          <w:rStyle w:val="Emphasis"/>
          <w:rFonts w:asciiTheme="minorHAnsi" w:hAnsiTheme="minorHAnsi" w:cstheme="minorHAnsi"/>
          <w:color w:val="2D3B45"/>
          <w:sz w:val="21"/>
          <w:szCs w:val="21"/>
        </w:rPr>
        <w:t>The Trial</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 xml:space="preserve">(2015)” </w:t>
      </w:r>
      <w:proofErr w:type="spellStart"/>
      <w:r w:rsidRPr="00EE4C46">
        <w:rPr>
          <w:rFonts w:asciiTheme="minorHAnsi" w:hAnsiTheme="minorHAnsi" w:cstheme="minorHAnsi"/>
          <w:color w:val="2D3B45"/>
          <w:sz w:val="21"/>
          <w:szCs w:val="21"/>
        </w:rPr>
        <w:t>Adversarialism</w:t>
      </w:r>
      <w:proofErr w:type="spellEnd"/>
      <w:r w:rsidRPr="00EE4C46">
        <w:rPr>
          <w:rFonts w:asciiTheme="minorHAnsi" w:hAnsiTheme="minorHAnsi" w:cstheme="minorHAnsi"/>
          <w:color w:val="2D3B45"/>
          <w:sz w:val="21"/>
          <w:szCs w:val="21"/>
        </w:rPr>
        <w:t>, Advocacy, Proof and the Jury”</w:t>
      </w:r>
    </w:p>
    <w:p w14:paraId="36D72907"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t>1.1       The trial process</w:t>
      </w:r>
    </w:p>
    <w:p w14:paraId="774DD1BF"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EA, ss 11, 26-29. </w:t>
      </w:r>
    </w:p>
    <w:p w14:paraId="7F749547"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368FBF9A"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t>1.2       Background to the</w:t>
      </w:r>
      <w:r w:rsidRPr="00EE4C46">
        <w:rPr>
          <w:rStyle w:val="apple-converted-space"/>
          <w:rFonts w:asciiTheme="minorHAnsi" w:hAnsiTheme="minorHAnsi" w:cstheme="minorHAnsi"/>
          <w:color w:val="000000"/>
          <w:sz w:val="21"/>
          <w:szCs w:val="21"/>
        </w:rPr>
        <w:t> </w:t>
      </w:r>
      <w:r w:rsidRPr="00EE4C46">
        <w:rPr>
          <w:rStyle w:val="Emphasis"/>
          <w:rFonts w:asciiTheme="minorHAnsi" w:hAnsiTheme="minorHAnsi" w:cstheme="minorHAnsi"/>
          <w:color w:val="000000"/>
          <w:sz w:val="21"/>
          <w:szCs w:val="21"/>
        </w:rPr>
        <w:t>Evidence Act 1995</w:t>
      </w:r>
      <w:r w:rsidRPr="00EE4C46">
        <w:rPr>
          <w:rStyle w:val="apple-converted-space"/>
          <w:rFonts w:asciiTheme="minorHAnsi" w:hAnsiTheme="minorHAnsi" w:cstheme="minorHAnsi"/>
          <w:color w:val="000000"/>
          <w:sz w:val="21"/>
          <w:szCs w:val="21"/>
        </w:rPr>
        <w:t> </w:t>
      </w:r>
      <w:r w:rsidRPr="00EE4C46">
        <w:rPr>
          <w:rStyle w:val="Strong"/>
          <w:rFonts w:asciiTheme="minorHAnsi" w:hAnsiTheme="minorHAnsi" w:cstheme="minorHAnsi"/>
          <w:b w:val="0"/>
          <w:bCs w:val="0"/>
          <w:color w:val="000000"/>
          <w:sz w:val="21"/>
          <w:szCs w:val="21"/>
        </w:rPr>
        <w:t>(NSW)</w:t>
      </w:r>
    </w:p>
    <w:p w14:paraId="43B645B2"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000000"/>
          <w:sz w:val="21"/>
          <w:szCs w:val="21"/>
        </w:rPr>
        <w:t>(You should be aware of the law reform reports giving rise to the original legislation and the more recent amendments. These reports are sometimes referred to in interpreting the legislation.)</w:t>
      </w:r>
    </w:p>
    <w:p w14:paraId="429C93D5" w14:textId="1F6E2B11"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Evidence</w:t>
      </w:r>
      <w:r w:rsidRPr="00EE4C46">
        <w:rPr>
          <w:rStyle w:val="apple-converted-space"/>
          <w:rFonts w:asciiTheme="minorHAnsi" w:hAnsiTheme="minorHAnsi" w:cstheme="minorHAnsi"/>
          <w:i/>
          <w:iCs/>
          <w:color w:val="000000"/>
          <w:sz w:val="21"/>
          <w:szCs w:val="21"/>
        </w:rPr>
        <w:t> </w:t>
      </w:r>
      <w:r w:rsidRPr="00EE4C46">
        <w:rPr>
          <w:rStyle w:val="Emphasis"/>
          <w:rFonts w:asciiTheme="minorHAnsi" w:hAnsiTheme="minorHAnsi" w:cstheme="minorHAnsi"/>
          <w:color w:val="000000"/>
          <w:sz w:val="21"/>
          <w:szCs w:val="21"/>
        </w:rPr>
        <w:t>(Interim Report)</w:t>
      </w:r>
      <w:r w:rsidRPr="00EE4C46">
        <w:rPr>
          <w:rFonts w:asciiTheme="minorHAnsi" w:hAnsiTheme="minorHAnsi" w:cstheme="minorHAnsi"/>
          <w:color w:val="000000"/>
          <w:sz w:val="21"/>
          <w:szCs w:val="21"/>
        </w:rPr>
        <w:t xml:space="preserve">, Australian Law Reform </w:t>
      </w:r>
      <w:bookmarkStart w:id="0" w:name="_GoBack"/>
      <w:bookmarkEnd w:id="0"/>
      <w:r w:rsidRPr="00EE4C46">
        <w:rPr>
          <w:rFonts w:asciiTheme="minorHAnsi" w:hAnsiTheme="minorHAnsi" w:cstheme="minorHAnsi"/>
          <w:color w:val="000000"/>
          <w:sz w:val="21"/>
          <w:szCs w:val="21"/>
        </w:rPr>
        <w:t>Commission, (</w:t>
      </w:r>
      <w:r w:rsidRPr="00EE4C46">
        <w:rPr>
          <w:rFonts w:asciiTheme="minorHAnsi" w:hAnsiTheme="minorHAnsi" w:cstheme="minorHAnsi"/>
          <w:color w:val="000000"/>
          <w:sz w:val="21"/>
          <w:szCs w:val="21"/>
        </w:rPr>
        <w:t xml:space="preserve">ALRC Report 26, 1985) </w:t>
      </w:r>
      <w:r w:rsidRPr="00EE4C46">
        <w:rPr>
          <w:rFonts w:asciiTheme="minorHAnsi" w:hAnsiTheme="minorHAnsi" w:cstheme="minorHAnsi"/>
          <w:color w:val="2D3B45"/>
          <w:sz w:val="21"/>
          <w:szCs w:val="21"/>
        </w:rPr>
        <w:t xml:space="preserve"> </w:t>
      </w:r>
    </w:p>
    <w:p w14:paraId="0BE027E0" w14:textId="4CDDAD37"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Evidence</w:t>
      </w:r>
      <w:r w:rsidRPr="00EE4C46">
        <w:rPr>
          <w:rFonts w:asciiTheme="minorHAnsi" w:hAnsiTheme="minorHAnsi" w:cstheme="minorHAnsi"/>
          <w:color w:val="000000"/>
          <w:sz w:val="21"/>
          <w:szCs w:val="21"/>
        </w:rPr>
        <w:t xml:space="preserve">, Australian Law Reform </w:t>
      </w:r>
      <w:r w:rsidRPr="00EE4C46">
        <w:rPr>
          <w:rFonts w:asciiTheme="minorHAnsi" w:hAnsiTheme="minorHAnsi" w:cstheme="minorHAnsi"/>
          <w:color w:val="000000"/>
          <w:sz w:val="21"/>
          <w:szCs w:val="21"/>
        </w:rPr>
        <w:t>Commission, (</w:t>
      </w:r>
      <w:r w:rsidRPr="00EE4C46">
        <w:rPr>
          <w:rFonts w:asciiTheme="minorHAnsi" w:hAnsiTheme="minorHAnsi" w:cstheme="minorHAnsi"/>
          <w:color w:val="000000"/>
          <w:sz w:val="21"/>
          <w:szCs w:val="21"/>
        </w:rPr>
        <w:t>ALRC Report 38, 1987)</w:t>
      </w:r>
      <w:r w:rsidRPr="00EE4C46">
        <w:rPr>
          <w:rFonts w:asciiTheme="minorHAnsi" w:hAnsiTheme="minorHAnsi" w:cstheme="minorHAnsi"/>
          <w:color w:val="2D3B45"/>
          <w:sz w:val="21"/>
          <w:szCs w:val="21"/>
        </w:rPr>
        <w:t xml:space="preserve"> </w:t>
      </w:r>
    </w:p>
    <w:p w14:paraId="31667985" w14:textId="6BDA6E99"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Uniform Evidence Law</w:t>
      </w:r>
      <w:r w:rsidRPr="00EE4C46">
        <w:rPr>
          <w:rFonts w:asciiTheme="minorHAnsi" w:hAnsiTheme="minorHAnsi" w:cstheme="minorHAnsi"/>
          <w:color w:val="000000"/>
          <w:sz w:val="21"/>
          <w:szCs w:val="21"/>
        </w:rPr>
        <w:t>, Australian Law Reform Commission, NSW Law Reform Commission, Victorian Law Reform Commission, (ALRC Report 102, NSWLRC Report 112, VLRC Final Report, 2005)</w:t>
      </w:r>
      <w:r w:rsidRPr="00EE4C46">
        <w:rPr>
          <w:rFonts w:asciiTheme="minorHAnsi" w:hAnsiTheme="minorHAnsi" w:cstheme="minorHAnsi"/>
          <w:color w:val="2D3B45"/>
          <w:sz w:val="21"/>
          <w:szCs w:val="21"/>
        </w:rPr>
        <w:t xml:space="preserve"> </w:t>
      </w:r>
    </w:p>
    <w:p w14:paraId="43509F2F" w14:textId="43FAA3A3"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Evidence Act 1995</w:t>
      </w:r>
      <w:r w:rsidRPr="00EE4C46">
        <w:rPr>
          <w:rStyle w:val="apple-converted-space"/>
          <w:rFonts w:asciiTheme="minorHAnsi" w:hAnsiTheme="minorHAnsi" w:cstheme="minorHAnsi"/>
          <w:color w:val="000000"/>
          <w:sz w:val="21"/>
          <w:szCs w:val="21"/>
        </w:rPr>
        <w:t> </w:t>
      </w:r>
      <w:r w:rsidRPr="00EE4C46">
        <w:rPr>
          <w:rFonts w:asciiTheme="minorHAnsi" w:hAnsiTheme="minorHAnsi" w:cstheme="minorHAnsi"/>
          <w:color w:val="000000"/>
          <w:sz w:val="21"/>
          <w:szCs w:val="21"/>
        </w:rPr>
        <w:t>(Cth) (‘EA’)</w:t>
      </w:r>
      <w:r w:rsidRPr="00EE4C46">
        <w:rPr>
          <w:rFonts w:asciiTheme="minorHAnsi" w:hAnsiTheme="minorHAnsi" w:cstheme="minorHAnsi"/>
          <w:color w:val="2D3B45"/>
          <w:sz w:val="21"/>
          <w:szCs w:val="21"/>
        </w:rPr>
        <w:t xml:space="preserve"> </w:t>
      </w:r>
    </w:p>
    <w:p w14:paraId="06F7ACF0" w14:textId="4B0607A9"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Evidence Act 1995</w:t>
      </w:r>
      <w:r w:rsidRPr="00EE4C46">
        <w:rPr>
          <w:rStyle w:val="apple-converted-space"/>
          <w:rFonts w:asciiTheme="minorHAnsi" w:hAnsiTheme="minorHAnsi" w:cstheme="minorHAnsi"/>
          <w:color w:val="000000"/>
          <w:sz w:val="21"/>
          <w:szCs w:val="21"/>
        </w:rPr>
        <w:t> </w:t>
      </w:r>
      <w:r w:rsidRPr="00EE4C46">
        <w:rPr>
          <w:rFonts w:asciiTheme="minorHAnsi" w:hAnsiTheme="minorHAnsi" w:cstheme="minorHAnsi"/>
          <w:color w:val="000000"/>
          <w:sz w:val="21"/>
          <w:szCs w:val="21"/>
        </w:rPr>
        <w:t>(NSW) (‘EA’)</w:t>
      </w:r>
      <w:r w:rsidRPr="00EE4C46">
        <w:rPr>
          <w:rFonts w:asciiTheme="minorHAnsi" w:hAnsiTheme="minorHAnsi" w:cstheme="minorHAnsi"/>
          <w:color w:val="2D3B45"/>
          <w:sz w:val="21"/>
          <w:szCs w:val="21"/>
        </w:rPr>
        <w:t xml:space="preserve"> </w:t>
      </w:r>
    </w:p>
    <w:p w14:paraId="66B22503" w14:textId="499152A6"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 xml:space="preserve">Odgers, Stephen --- "Uniform Evidence Law at 21" [2017] </w:t>
      </w:r>
      <w:proofErr w:type="spellStart"/>
      <w:r w:rsidRPr="00EE4C46">
        <w:rPr>
          <w:rFonts w:asciiTheme="minorHAnsi" w:hAnsiTheme="minorHAnsi" w:cstheme="minorHAnsi"/>
          <w:color w:val="000000"/>
          <w:sz w:val="21"/>
          <w:szCs w:val="21"/>
        </w:rPr>
        <w:t>CICrimJust</w:t>
      </w:r>
      <w:proofErr w:type="spellEnd"/>
      <w:r w:rsidRPr="00EE4C46">
        <w:rPr>
          <w:rFonts w:asciiTheme="minorHAnsi" w:hAnsiTheme="minorHAnsi" w:cstheme="minorHAnsi"/>
          <w:color w:val="000000"/>
          <w:sz w:val="21"/>
          <w:szCs w:val="21"/>
        </w:rPr>
        <w:t xml:space="preserve"> 4; (2017) 28(3) Current Issues in Criminal Justice 311</w:t>
      </w:r>
      <w:r w:rsidRPr="00EE4C46">
        <w:rPr>
          <w:rFonts w:asciiTheme="minorHAnsi" w:hAnsiTheme="minorHAnsi" w:cstheme="minorHAnsi"/>
          <w:color w:val="2D3B45"/>
          <w:sz w:val="21"/>
          <w:szCs w:val="21"/>
        </w:rPr>
        <w:t xml:space="preserve"> </w:t>
      </w:r>
    </w:p>
    <w:p w14:paraId="5B42DC4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000000"/>
          <w:sz w:val="21"/>
          <w:szCs w:val="21"/>
        </w:rPr>
        <w:t> </w:t>
      </w:r>
    </w:p>
    <w:p w14:paraId="2F0950C2"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t>1.3        Relationship between the</w:t>
      </w:r>
      <w:r w:rsidRPr="00EE4C46">
        <w:rPr>
          <w:rStyle w:val="apple-converted-space"/>
          <w:rFonts w:asciiTheme="minorHAnsi" w:hAnsiTheme="minorHAnsi" w:cstheme="minorHAnsi"/>
          <w:color w:val="000000"/>
          <w:sz w:val="21"/>
          <w:szCs w:val="21"/>
        </w:rPr>
        <w:t> </w:t>
      </w:r>
      <w:r w:rsidRPr="00EE4C46">
        <w:rPr>
          <w:rStyle w:val="Emphasis"/>
          <w:rFonts w:asciiTheme="minorHAnsi" w:hAnsiTheme="minorHAnsi" w:cstheme="minorHAnsi"/>
          <w:color w:val="000000"/>
          <w:sz w:val="21"/>
          <w:szCs w:val="21"/>
        </w:rPr>
        <w:t>Evidence Acts</w:t>
      </w:r>
      <w:r w:rsidRPr="00EE4C46">
        <w:rPr>
          <w:rStyle w:val="Strong"/>
          <w:rFonts w:asciiTheme="minorHAnsi" w:hAnsiTheme="minorHAnsi" w:cstheme="minorHAnsi"/>
          <w:b w:val="0"/>
          <w:bCs w:val="0"/>
          <w:color w:val="000000"/>
          <w:sz w:val="21"/>
          <w:szCs w:val="21"/>
        </w:rPr>
        <w:t>, the common law and other statues</w:t>
      </w:r>
    </w:p>
    <w:p w14:paraId="136BE87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EA, ss 8, 9</w:t>
      </w:r>
    </w:p>
    <w:p w14:paraId="2DC1C35F"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7D70D871"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t>1.4        Taking Objections</w:t>
      </w:r>
    </w:p>
    <w:p w14:paraId="5C22F31E" w14:textId="51A8D766"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Criminal Appeal Rules, r 4 (made under the</w:t>
      </w:r>
      <w:r w:rsidRPr="00EE4C46">
        <w:rPr>
          <w:rStyle w:val="apple-converted-space"/>
          <w:rFonts w:asciiTheme="minorHAnsi" w:hAnsiTheme="minorHAnsi" w:cstheme="minorHAnsi"/>
          <w:color w:val="000000"/>
          <w:sz w:val="21"/>
          <w:szCs w:val="21"/>
        </w:rPr>
        <w:t> </w:t>
      </w:r>
      <w:r w:rsidRPr="00EE4C46">
        <w:rPr>
          <w:rStyle w:val="Emphasis"/>
          <w:rFonts w:asciiTheme="minorHAnsi" w:hAnsiTheme="minorHAnsi" w:cstheme="minorHAnsi"/>
          <w:color w:val="000000"/>
          <w:sz w:val="21"/>
          <w:szCs w:val="21"/>
        </w:rPr>
        <w:t>Supreme Court Act 1970</w:t>
      </w:r>
      <w:r w:rsidRPr="00EE4C46">
        <w:rPr>
          <w:rStyle w:val="apple-converted-space"/>
          <w:rFonts w:asciiTheme="minorHAnsi" w:hAnsiTheme="minorHAnsi" w:cstheme="minorHAnsi"/>
          <w:color w:val="000000"/>
          <w:sz w:val="21"/>
          <w:szCs w:val="21"/>
        </w:rPr>
        <w:t> </w:t>
      </w:r>
      <w:r w:rsidRPr="00EE4C46">
        <w:rPr>
          <w:rFonts w:asciiTheme="minorHAnsi" w:hAnsiTheme="minorHAnsi" w:cstheme="minorHAnsi"/>
          <w:color w:val="000000"/>
          <w:sz w:val="21"/>
          <w:szCs w:val="21"/>
        </w:rPr>
        <w:t>(NSW))</w:t>
      </w:r>
      <w:r w:rsidRPr="00EE4C46">
        <w:rPr>
          <w:rFonts w:asciiTheme="minorHAnsi" w:hAnsiTheme="minorHAnsi" w:cstheme="minorHAnsi"/>
          <w:color w:val="2D3B45"/>
          <w:sz w:val="21"/>
          <w:szCs w:val="21"/>
        </w:rPr>
        <w:t xml:space="preserve"> </w:t>
      </w:r>
    </w:p>
    <w:p w14:paraId="555C47DC" w14:textId="77777777"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p>
    <w:p w14:paraId="43D5A5BB"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lastRenderedPageBreak/>
        <w:t>1.5        Dispensing with the Rules of Evidence</w:t>
      </w:r>
    </w:p>
    <w:p w14:paraId="7643DCFC"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EA, s 190 </w:t>
      </w:r>
    </w:p>
    <w:p w14:paraId="2481988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1AC51297" w14:textId="77777777" w:rsidR="00EE4C46" w:rsidRPr="00EE4C46" w:rsidRDefault="00EE4C46" w:rsidP="00EE4C46">
      <w:pPr>
        <w:pStyle w:val="Heading4"/>
        <w:spacing w:before="90" w:after="90"/>
        <w:rPr>
          <w:rFonts w:asciiTheme="minorHAnsi" w:hAnsiTheme="minorHAnsi" w:cstheme="minorHAnsi"/>
          <w:color w:val="2D3B45"/>
          <w:sz w:val="21"/>
          <w:szCs w:val="21"/>
        </w:rPr>
      </w:pPr>
      <w:r w:rsidRPr="00EE4C46">
        <w:rPr>
          <w:rStyle w:val="Strong"/>
          <w:rFonts w:asciiTheme="minorHAnsi" w:hAnsiTheme="minorHAnsi" w:cstheme="minorHAnsi"/>
          <w:b w:val="0"/>
          <w:bCs w:val="0"/>
          <w:color w:val="000000"/>
          <w:sz w:val="21"/>
          <w:szCs w:val="21"/>
        </w:rPr>
        <w:t>1.6       </w:t>
      </w:r>
      <w:proofErr w:type="spellStart"/>
      <w:r w:rsidRPr="00EE4C46">
        <w:rPr>
          <w:rStyle w:val="Strong"/>
          <w:rFonts w:asciiTheme="minorHAnsi" w:hAnsiTheme="minorHAnsi" w:cstheme="minorHAnsi"/>
          <w:b w:val="0"/>
          <w:bCs w:val="0"/>
          <w:color w:val="000000"/>
          <w:sz w:val="21"/>
          <w:szCs w:val="21"/>
        </w:rPr>
        <w:t>Voir</w:t>
      </w:r>
      <w:proofErr w:type="spellEnd"/>
      <w:r w:rsidRPr="00EE4C46">
        <w:rPr>
          <w:rStyle w:val="Strong"/>
          <w:rFonts w:asciiTheme="minorHAnsi" w:hAnsiTheme="minorHAnsi" w:cstheme="minorHAnsi"/>
          <w:b w:val="0"/>
          <w:bCs w:val="0"/>
          <w:color w:val="000000"/>
          <w:sz w:val="21"/>
          <w:szCs w:val="21"/>
        </w:rPr>
        <w:t xml:space="preserve"> dire</w:t>
      </w:r>
    </w:p>
    <w:p w14:paraId="1566F064"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EA, s 189</w:t>
      </w:r>
    </w:p>
    <w:p w14:paraId="2920F563"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70728E42"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000000"/>
          <w:sz w:val="21"/>
          <w:szCs w:val="21"/>
        </w:rPr>
        <w:t>1.7</w:t>
      </w:r>
      <w:r w:rsidRPr="00EE4C46">
        <w:rPr>
          <w:rFonts w:asciiTheme="minorHAnsi" w:hAnsiTheme="minorHAnsi" w:cstheme="minorHAnsi"/>
          <w:color w:val="000000"/>
          <w:sz w:val="21"/>
          <w:szCs w:val="21"/>
        </w:rPr>
        <w:t>      </w:t>
      </w:r>
      <w:r w:rsidRPr="00EE4C46">
        <w:rPr>
          <w:rStyle w:val="apple-converted-space"/>
          <w:rFonts w:asciiTheme="minorHAnsi" w:hAnsiTheme="minorHAnsi" w:cstheme="minorHAnsi"/>
          <w:color w:val="000000"/>
          <w:sz w:val="21"/>
          <w:szCs w:val="21"/>
        </w:rPr>
        <w:t> </w:t>
      </w:r>
      <w:r w:rsidRPr="00EE4C46">
        <w:rPr>
          <w:rStyle w:val="Strong"/>
          <w:rFonts w:asciiTheme="minorHAnsi" w:hAnsiTheme="minorHAnsi" w:cstheme="minorHAnsi"/>
          <w:color w:val="000000"/>
          <w:sz w:val="21"/>
          <w:szCs w:val="21"/>
        </w:rPr>
        <w:t>Leave given by the Court</w:t>
      </w:r>
    </w:p>
    <w:p w14:paraId="75C87C20"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            EA, s 192</w:t>
      </w:r>
    </w:p>
    <w:p w14:paraId="274EC519"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13EC1219"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000000"/>
          <w:sz w:val="21"/>
          <w:szCs w:val="21"/>
        </w:rPr>
        <w:t>1.8</w:t>
      </w:r>
      <w:r w:rsidRPr="00EE4C46">
        <w:rPr>
          <w:rFonts w:asciiTheme="minorHAnsi" w:hAnsiTheme="minorHAnsi" w:cstheme="minorHAnsi"/>
          <w:color w:val="000000"/>
          <w:sz w:val="21"/>
          <w:szCs w:val="21"/>
        </w:rPr>
        <w:t>      </w:t>
      </w:r>
      <w:r w:rsidRPr="00EE4C46">
        <w:rPr>
          <w:rStyle w:val="apple-converted-space"/>
          <w:rFonts w:asciiTheme="minorHAnsi" w:hAnsiTheme="minorHAnsi" w:cstheme="minorHAnsi"/>
          <w:color w:val="000000"/>
          <w:sz w:val="21"/>
          <w:szCs w:val="21"/>
        </w:rPr>
        <w:t> </w:t>
      </w:r>
      <w:r w:rsidRPr="00EE4C46">
        <w:rPr>
          <w:rStyle w:val="Strong"/>
          <w:rFonts w:asciiTheme="minorHAnsi" w:hAnsiTheme="minorHAnsi" w:cstheme="minorHAnsi"/>
          <w:color w:val="000000"/>
          <w:sz w:val="21"/>
          <w:szCs w:val="21"/>
        </w:rPr>
        <w:t>Preliminary hearings</w:t>
      </w:r>
    </w:p>
    <w:p w14:paraId="627EFD88"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000000"/>
          <w:sz w:val="21"/>
          <w:szCs w:val="21"/>
        </w:rPr>
        <w:t>            EA, s 190A</w:t>
      </w:r>
    </w:p>
    <w:p w14:paraId="368C43BD" w14:textId="77777777" w:rsidR="00EE4C46" w:rsidRPr="00EE4C46" w:rsidRDefault="00EE4C46">
      <w:pPr>
        <w:rPr>
          <w:rFonts w:asciiTheme="minorHAnsi" w:hAnsiTheme="minorHAnsi" w:cstheme="minorHAnsi"/>
          <w:b/>
          <w:bCs/>
          <w:sz w:val="21"/>
          <w:szCs w:val="21"/>
          <w:u w:val="single"/>
        </w:rPr>
      </w:pPr>
    </w:p>
    <w:p w14:paraId="340F17E5" w14:textId="42146CDB" w:rsidR="00131463" w:rsidRPr="00EE4C46" w:rsidRDefault="00131463">
      <w:pPr>
        <w:rPr>
          <w:rFonts w:asciiTheme="minorHAnsi" w:hAnsiTheme="minorHAnsi" w:cstheme="minorHAnsi"/>
          <w:sz w:val="21"/>
          <w:szCs w:val="21"/>
        </w:rPr>
      </w:pPr>
    </w:p>
    <w:p w14:paraId="6E7D739B" w14:textId="457CAABA" w:rsidR="00131463" w:rsidRPr="00EE4C46" w:rsidRDefault="00131463" w:rsidP="00EE4C46">
      <w:pPr>
        <w:pStyle w:val="ListParagraph"/>
        <w:numPr>
          <w:ilvl w:val="0"/>
          <w:numId w:val="3"/>
        </w:numPr>
        <w:spacing w:before="90" w:after="90"/>
        <w:outlineLvl w:val="2"/>
        <w:rPr>
          <w:rFonts w:asciiTheme="minorHAnsi" w:hAnsiTheme="minorHAnsi" w:cstheme="minorHAnsi"/>
          <w:color w:val="2D3B45"/>
          <w:sz w:val="21"/>
          <w:szCs w:val="21"/>
          <w:lang w:eastAsia="en-GB"/>
        </w:rPr>
      </w:pPr>
      <w:r w:rsidRPr="00EE4C46">
        <w:rPr>
          <w:rFonts w:asciiTheme="minorHAnsi" w:hAnsiTheme="minorHAnsi" w:cstheme="minorHAnsi"/>
          <w:b/>
          <w:bCs/>
          <w:color w:val="2D3B45"/>
          <w:sz w:val="21"/>
          <w:szCs w:val="21"/>
          <w:lang w:eastAsia="en-GB"/>
        </w:rPr>
        <w:t>Proof - Part 1</w:t>
      </w:r>
    </w:p>
    <w:p w14:paraId="102BDC40"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b/>
          <w:bCs/>
          <w:color w:val="2D3B45"/>
          <w:sz w:val="21"/>
          <w:szCs w:val="21"/>
          <w:lang w:val="en-AU" w:eastAsia="en-GB"/>
        </w:rPr>
        <w:t>2.1       Burden of Proof</w:t>
      </w:r>
    </w:p>
    <w:p w14:paraId="7DAD37D9"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Apollo Shower Screens Pty Ltd v Building and Construction Industry Long Service Payments Corporation </w:t>
      </w:r>
      <w:r w:rsidRPr="00131463">
        <w:rPr>
          <w:rFonts w:asciiTheme="minorHAnsi" w:hAnsiTheme="minorHAnsi" w:cstheme="minorHAnsi"/>
          <w:color w:val="2D3B45"/>
          <w:sz w:val="21"/>
          <w:szCs w:val="21"/>
          <w:lang w:val="en-AU" w:eastAsia="en-GB"/>
        </w:rPr>
        <w:t>(1985) 1 NSWLR 561 (KOP [15.30])</w:t>
      </w:r>
    </w:p>
    <w:p w14:paraId="79446D4D"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 </w:t>
      </w:r>
    </w:p>
    <w:p w14:paraId="51220B59"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b/>
          <w:bCs/>
          <w:color w:val="2D3B45"/>
          <w:sz w:val="21"/>
          <w:szCs w:val="21"/>
          <w:lang w:val="en-AU" w:eastAsia="en-GB"/>
        </w:rPr>
        <w:t>2.2       Standard of Proof</w:t>
      </w:r>
    </w:p>
    <w:p w14:paraId="221A3039"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color w:val="2D3B45"/>
          <w:sz w:val="21"/>
          <w:szCs w:val="21"/>
          <w:lang w:val="en-AU" w:eastAsia="en-GB"/>
        </w:rPr>
        <w:t>EA ss 140-142</w:t>
      </w:r>
    </w:p>
    <w:p w14:paraId="61B8BAD8" w14:textId="1EDCB8A1" w:rsidR="00131463" w:rsidRPr="00131463" w:rsidRDefault="00131463" w:rsidP="00131463">
      <w:pPr>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Qantas Airways Ltd v Gama </w:t>
      </w:r>
      <w:r w:rsidRPr="00131463">
        <w:rPr>
          <w:rFonts w:asciiTheme="minorHAnsi" w:hAnsiTheme="minorHAnsi" w:cstheme="minorHAnsi"/>
          <w:color w:val="2D3B45"/>
          <w:sz w:val="21"/>
          <w:szCs w:val="21"/>
          <w:lang w:val="en-AU" w:eastAsia="en-GB"/>
        </w:rPr>
        <w:t>(2008) 167 FCR 537 (KOP [15.50])</w:t>
      </w:r>
    </w:p>
    <w:p w14:paraId="06E4DCE5" w14:textId="62F589E3" w:rsidR="00131463" w:rsidRPr="00131463" w:rsidRDefault="00131463" w:rsidP="00131463">
      <w:pPr>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Green v The Queen </w:t>
      </w:r>
      <w:r w:rsidRPr="00131463">
        <w:rPr>
          <w:rFonts w:asciiTheme="minorHAnsi" w:hAnsiTheme="minorHAnsi" w:cstheme="minorHAnsi"/>
          <w:color w:val="2D3B45"/>
          <w:sz w:val="21"/>
          <w:szCs w:val="21"/>
          <w:lang w:val="en-AU" w:eastAsia="en-GB"/>
        </w:rPr>
        <w:t>(1971) 126 CLR 28;</w:t>
      </w:r>
      <w:r w:rsidRPr="00EE4C46">
        <w:rPr>
          <w:rFonts w:asciiTheme="minorHAnsi" w:hAnsiTheme="minorHAnsi" w:cstheme="minorHAnsi"/>
          <w:color w:val="2D3B45"/>
          <w:sz w:val="21"/>
          <w:szCs w:val="21"/>
          <w:lang w:val="en-AU" w:eastAsia="en-GB"/>
        </w:rPr>
        <w:t xml:space="preserve"> </w:t>
      </w:r>
      <w:r w:rsidRPr="00131463">
        <w:rPr>
          <w:rFonts w:asciiTheme="minorHAnsi" w:hAnsiTheme="minorHAnsi" w:cstheme="minorHAnsi"/>
          <w:color w:val="2D3B45"/>
          <w:sz w:val="21"/>
          <w:szCs w:val="21"/>
          <w:lang w:val="en-AU" w:eastAsia="en-GB"/>
        </w:rPr>
        <w:t>(KOP [15.70])</w:t>
      </w:r>
    </w:p>
    <w:p w14:paraId="14FAEA4D" w14:textId="20C9EFF5" w:rsidR="00131463" w:rsidRPr="00131463" w:rsidRDefault="00131463" w:rsidP="00131463">
      <w:pPr>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Shepherd v The Queen </w:t>
      </w:r>
      <w:r w:rsidRPr="00131463">
        <w:rPr>
          <w:rFonts w:asciiTheme="minorHAnsi" w:hAnsiTheme="minorHAnsi" w:cstheme="minorHAnsi"/>
          <w:color w:val="2D3B45"/>
          <w:sz w:val="21"/>
          <w:szCs w:val="21"/>
          <w:lang w:val="en-AU" w:eastAsia="en-GB"/>
        </w:rPr>
        <w:t>(1990) 170 CLR 573; (KOP [15.80])</w:t>
      </w:r>
    </w:p>
    <w:p w14:paraId="78FB4CC8" w14:textId="4B692365" w:rsidR="00131463" w:rsidRPr="00131463" w:rsidRDefault="00131463" w:rsidP="00131463">
      <w:pPr>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 xml:space="preserve">R v </w:t>
      </w:r>
      <w:proofErr w:type="spellStart"/>
      <w:r w:rsidRPr="00131463">
        <w:rPr>
          <w:rFonts w:asciiTheme="minorHAnsi" w:hAnsiTheme="minorHAnsi" w:cstheme="minorHAnsi"/>
          <w:i/>
          <w:iCs/>
          <w:color w:val="2D3B45"/>
          <w:sz w:val="21"/>
          <w:szCs w:val="21"/>
          <w:lang w:val="en-AU" w:eastAsia="en-GB"/>
        </w:rPr>
        <w:t>Dookheea</w:t>
      </w:r>
      <w:proofErr w:type="spellEnd"/>
      <w:r w:rsidRPr="00131463">
        <w:rPr>
          <w:rFonts w:asciiTheme="minorHAnsi" w:hAnsiTheme="minorHAnsi" w:cstheme="minorHAnsi"/>
          <w:i/>
          <w:iCs/>
          <w:color w:val="2D3B45"/>
          <w:sz w:val="21"/>
          <w:szCs w:val="21"/>
          <w:lang w:val="en-AU" w:eastAsia="en-GB"/>
        </w:rPr>
        <w:t> </w:t>
      </w:r>
      <w:r w:rsidRPr="00131463">
        <w:rPr>
          <w:rFonts w:asciiTheme="minorHAnsi" w:hAnsiTheme="minorHAnsi" w:cstheme="minorHAnsi"/>
          <w:color w:val="2D3B45"/>
          <w:sz w:val="21"/>
          <w:szCs w:val="21"/>
          <w:lang w:val="en-AU" w:eastAsia="en-GB"/>
        </w:rPr>
        <w:t>(2017) 91 ALJR 960; 347 ALR 529; [2017] ALMD 4770;</w:t>
      </w:r>
      <w:r w:rsidRPr="00EE4C46">
        <w:rPr>
          <w:rFonts w:asciiTheme="minorHAnsi" w:hAnsiTheme="minorHAnsi" w:cstheme="minorHAnsi"/>
          <w:color w:val="2D3B45"/>
          <w:sz w:val="21"/>
          <w:szCs w:val="21"/>
          <w:lang w:val="en-AU" w:eastAsia="en-GB"/>
        </w:rPr>
        <w:t xml:space="preserve"> </w:t>
      </w:r>
    </w:p>
    <w:p w14:paraId="5BBD996E"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Jury Directions Act 2015 </w:t>
      </w:r>
      <w:r w:rsidRPr="00131463">
        <w:rPr>
          <w:rFonts w:asciiTheme="minorHAnsi" w:hAnsiTheme="minorHAnsi" w:cstheme="minorHAnsi"/>
          <w:color w:val="2D3B45"/>
          <w:sz w:val="21"/>
          <w:szCs w:val="21"/>
          <w:lang w:val="en-AU" w:eastAsia="en-GB"/>
        </w:rPr>
        <w:t>(Vic) Part 7</w:t>
      </w:r>
    </w:p>
    <w:p w14:paraId="13B3E5B5"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color w:val="2D3B45"/>
          <w:sz w:val="21"/>
          <w:szCs w:val="21"/>
          <w:lang w:val="en-AU" w:eastAsia="en-GB"/>
        </w:rPr>
        <w:t> </w:t>
      </w:r>
    </w:p>
    <w:p w14:paraId="778014F0" w14:textId="77777777" w:rsidR="00131463" w:rsidRPr="00131463" w:rsidRDefault="00131463" w:rsidP="00131463">
      <w:pPr>
        <w:spacing w:before="180" w:after="180"/>
        <w:rPr>
          <w:rFonts w:asciiTheme="minorHAnsi" w:hAnsiTheme="minorHAnsi" w:cstheme="minorHAnsi"/>
          <w:color w:val="2D3B45"/>
          <w:sz w:val="21"/>
          <w:szCs w:val="21"/>
          <w:lang w:val="en-AU" w:eastAsia="en-GB"/>
        </w:rPr>
      </w:pPr>
      <w:r w:rsidRPr="00131463">
        <w:rPr>
          <w:rFonts w:asciiTheme="minorHAnsi" w:hAnsiTheme="minorHAnsi" w:cstheme="minorHAnsi"/>
          <w:b/>
          <w:bCs/>
          <w:color w:val="2D3B45"/>
          <w:sz w:val="21"/>
          <w:szCs w:val="21"/>
          <w:lang w:val="en-AU" w:eastAsia="en-GB"/>
        </w:rPr>
        <w:t>2.3       Prima Facie Case</w:t>
      </w:r>
    </w:p>
    <w:p w14:paraId="07B02045" w14:textId="690CA28D" w:rsidR="00131463" w:rsidRPr="00131463" w:rsidRDefault="00131463" w:rsidP="00131463">
      <w:pPr>
        <w:rPr>
          <w:rFonts w:asciiTheme="minorHAnsi" w:hAnsiTheme="minorHAnsi" w:cstheme="minorHAnsi"/>
          <w:color w:val="2D3B45"/>
          <w:sz w:val="21"/>
          <w:szCs w:val="21"/>
          <w:lang w:val="en-AU" w:eastAsia="en-GB"/>
        </w:rPr>
      </w:pPr>
      <w:r w:rsidRPr="00131463">
        <w:rPr>
          <w:rFonts w:asciiTheme="minorHAnsi" w:hAnsiTheme="minorHAnsi" w:cstheme="minorHAnsi"/>
          <w:i/>
          <w:iCs/>
          <w:color w:val="2D3B45"/>
          <w:sz w:val="21"/>
          <w:szCs w:val="21"/>
          <w:lang w:val="en-AU" w:eastAsia="en-GB"/>
        </w:rPr>
        <w:t>May v O’Sullivan </w:t>
      </w:r>
      <w:r w:rsidRPr="00131463">
        <w:rPr>
          <w:rFonts w:asciiTheme="minorHAnsi" w:hAnsiTheme="minorHAnsi" w:cstheme="minorHAnsi"/>
          <w:color w:val="2D3B45"/>
          <w:sz w:val="21"/>
          <w:szCs w:val="21"/>
          <w:lang w:val="en-AU" w:eastAsia="en-GB"/>
        </w:rPr>
        <w:t>(1955) 92 CLR 654;</w:t>
      </w:r>
      <w:r w:rsidRPr="00EE4C46">
        <w:rPr>
          <w:rFonts w:asciiTheme="minorHAnsi" w:hAnsiTheme="minorHAnsi" w:cstheme="minorHAnsi"/>
          <w:color w:val="2D3B45"/>
          <w:sz w:val="21"/>
          <w:szCs w:val="21"/>
          <w:lang w:val="en-AU" w:eastAsia="en-GB"/>
        </w:rPr>
        <w:t xml:space="preserve"> </w:t>
      </w:r>
      <w:r w:rsidRPr="00131463">
        <w:rPr>
          <w:rFonts w:asciiTheme="minorHAnsi" w:hAnsiTheme="minorHAnsi" w:cstheme="minorHAnsi"/>
          <w:color w:val="2D3B45"/>
          <w:sz w:val="21"/>
          <w:szCs w:val="21"/>
          <w:lang w:val="en-AU" w:eastAsia="en-GB"/>
        </w:rPr>
        <w:t>(KOP [19.20])</w:t>
      </w:r>
    </w:p>
    <w:p w14:paraId="0AD2ABE5" w14:textId="302978F1" w:rsidR="00131463" w:rsidRPr="00EE4C46" w:rsidRDefault="00131463" w:rsidP="00131463">
      <w:pPr>
        <w:rPr>
          <w:rFonts w:asciiTheme="minorHAnsi" w:hAnsiTheme="minorHAnsi" w:cstheme="minorHAnsi"/>
          <w:color w:val="2D3B45"/>
          <w:sz w:val="21"/>
          <w:szCs w:val="21"/>
          <w:lang w:val="en-AU" w:eastAsia="en-GB"/>
        </w:rPr>
      </w:pPr>
      <w:proofErr w:type="spellStart"/>
      <w:r w:rsidRPr="00131463">
        <w:rPr>
          <w:rFonts w:asciiTheme="minorHAnsi" w:hAnsiTheme="minorHAnsi" w:cstheme="minorHAnsi"/>
          <w:i/>
          <w:iCs/>
          <w:color w:val="2D3B45"/>
          <w:sz w:val="21"/>
          <w:szCs w:val="21"/>
          <w:lang w:val="en-AU" w:eastAsia="en-GB"/>
        </w:rPr>
        <w:t>Doney</w:t>
      </w:r>
      <w:proofErr w:type="spellEnd"/>
      <w:r w:rsidRPr="00131463">
        <w:rPr>
          <w:rFonts w:asciiTheme="minorHAnsi" w:hAnsiTheme="minorHAnsi" w:cstheme="minorHAnsi"/>
          <w:i/>
          <w:iCs/>
          <w:color w:val="2D3B45"/>
          <w:sz w:val="21"/>
          <w:szCs w:val="21"/>
          <w:lang w:val="en-AU" w:eastAsia="en-GB"/>
        </w:rPr>
        <w:t xml:space="preserve"> v The Queen</w:t>
      </w:r>
      <w:r w:rsidRPr="00131463">
        <w:rPr>
          <w:rFonts w:asciiTheme="minorHAnsi" w:hAnsiTheme="minorHAnsi" w:cstheme="minorHAnsi"/>
          <w:color w:val="2D3B45"/>
          <w:sz w:val="21"/>
          <w:szCs w:val="21"/>
          <w:lang w:val="en-AU" w:eastAsia="en-GB"/>
        </w:rPr>
        <w:t> (1990) 171 CLR 207; 96 ALR 539; (KOP [19.30])</w:t>
      </w:r>
    </w:p>
    <w:p w14:paraId="4211746A" w14:textId="32ABEF8F" w:rsidR="00131463" w:rsidRPr="00EE4C46" w:rsidRDefault="00131463" w:rsidP="00131463">
      <w:pPr>
        <w:rPr>
          <w:rFonts w:asciiTheme="minorHAnsi" w:hAnsiTheme="minorHAnsi" w:cstheme="minorHAnsi"/>
          <w:color w:val="2D3B45"/>
          <w:sz w:val="21"/>
          <w:szCs w:val="21"/>
          <w:lang w:val="en-AU" w:eastAsia="en-GB"/>
        </w:rPr>
      </w:pPr>
    </w:p>
    <w:p w14:paraId="09120DC1" w14:textId="77777777" w:rsidR="00131463" w:rsidRPr="00131463" w:rsidRDefault="00131463" w:rsidP="00131463">
      <w:pPr>
        <w:rPr>
          <w:rFonts w:asciiTheme="minorHAnsi" w:hAnsiTheme="minorHAnsi" w:cstheme="minorHAnsi"/>
          <w:color w:val="2D3B45"/>
          <w:sz w:val="21"/>
          <w:szCs w:val="21"/>
          <w:lang w:val="en-AU" w:eastAsia="en-GB"/>
        </w:rPr>
      </w:pPr>
    </w:p>
    <w:p w14:paraId="56FB6F93" w14:textId="23697488" w:rsidR="00131463" w:rsidRPr="00EE4C46" w:rsidRDefault="00131463" w:rsidP="00131463">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w:t>
      </w:r>
      <w:r w:rsidR="00EE4C46" w:rsidRPr="00EE4C46">
        <w:rPr>
          <w:rStyle w:val="Strong"/>
          <w:rFonts w:asciiTheme="minorHAnsi" w:hAnsiTheme="minorHAnsi" w:cstheme="minorHAnsi"/>
          <w:b/>
          <w:bCs/>
          <w:color w:val="2D3B45"/>
          <w:sz w:val="21"/>
          <w:szCs w:val="21"/>
        </w:rPr>
        <w:t>3</w:t>
      </w:r>
      <w:r w:rsidRPr="00EE4C46">
        <w:rPr>
          <w:rStyle w:val="Strong"/>
          <w:rFonts w:asciiTheme="minorHAnsi" w:hAnsiTheme="minorHAnsi" w:cstheme="minorHAnsi"/>
          <w:b/>
          <w:bCs/>
          <w:color w:val="2D3B45"/>
          <w:sz w:val="21"/>
          <w:szCs w:val="21"/>
        </w:rPr>
        <w:t xml:space="preserve">) </w:t>
      </w:r>
      <w:r w:rsidRPr="00EE4C46">
        <w:rPr>
          <w:rStyle w:val="Strong"/>
          <w:rFonts w:asciiTheme="minorHAnsi" w:hAnsiTheme="minorHAnsi" w:cstheme="minorHAnsi"/>
          <w:b/>
          <w:bCs/>
          <w:color w:val="2D3B45"/>
          <w:sz w:val="21"/>
          <w:szCs w:val="21"/>
        </w:rPr>
        <w:t>Testimonial evidence</w:t>
      </w:r>
    </w:p>
    <w:p w14:paraId="06F4359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3.1       Calling a witness</w:t>
      </w:r>
    </w:p>
    <w:p w14:paraId="26FC1F1D"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11, 26</w:t>
      </w:r>
    </w:p>
    <w:p w14:paraId="0758C997" w14:textId="5C9A5001"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Clark Equipment Credit of Australia Ltd v Como Factors Pty Ltd</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(1988) 14 NSWLR 552 (KOP [2.40])</w:t>
      </w:r>
    </w:p>
    <w:p w14:paraId="743A5475" w14:textId="60F084F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Kneebone</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(1999) 47 NSWLR 450;</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[2.50])</w:t>
      </w:r>
    </w:p>
    <w:p w14:paraId="7CC70BF4" w14:textId="4FC03C0F"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lastRenderedPageBreak/>
        <w:t>Velevski</w:t>
      </w:r>
      <w:proofErr w:type="spellEnd"/>
      <w:r w:rsidRPr="00EE4C46">
        <w:rPr>
          <w:rStyle w:val="Emphasis"/>
          <w:rFonts w:asciiTheme="minorHAnsi" w:hAnsiTheme="minorHAnsi" w:cstheme="minorHAnsi"/>
          <w:color w:val="2D3B45"/>
          <w:sz w:val="21"/>
          <w:szCs w:val="21"/>
        </w:rPr>
        <w:t xml:space="preserve">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(2002) 76 ALJR 402;</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[2.60])</w:t>
      </w:r>
    </w:p>
    <w:p w14:paraId="7B228ECA"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77CCE506"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3.2       Competence and compellability</w:t>
      </w:r>
    </w:p>
    <w:p w14:paraId="0A7B0AF3"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12-20</w:t>
      </w:r>
    </w:p>
    <w:p w14:paraId="2D5FB1D1"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CPA s 279</w:t>
      </w:r>
    </w:p>
    <w:p w14:paraId="4B3578D7"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ALRC 102 (KOP [2.80])</w:t>
      </w:r>
    </w:p>
    <w:p w14:paraId="5D69A8BF" w14:textId="7E8776E4"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SH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(2012) 83 NSWLR 258; 222 A Crim R 43;</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[2.110])</w:t>
      </w:r>
    </w:p>
    <w:p w14:paraId="397B7CA8" w14:textId="61317C76"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GW</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(2016) 258 CLR 108</w:t>
      </w:r>
      <w:r w:rsidRPr="00EE4C46">
        <w:rPr>
          <w:rFonts w:asciiTheme="minorHAnsi" w:hAnsiTheme="minorHAnsi" w:cstheme="minorHAnsi"/>
          <w:color w:val="2D3B45"/>
          <w:sz w:val="21"/>
          <w:szCs w:val="21"/>
        </w:rPr>
        <w:t>;</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[2.130])</w:t>
      </w:r>
    </w:p>
    <w:p w14:paraId="516A07A1"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Khan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(Unreported, Supreme Court of New South Wales, Hidden J, 22 November 1995) (KOP [2.150])</w:t>
      </w:r>
    </w:p>
    <w:p w14:paraId="6BB39A15" w14:textId="6A990611"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Kirk v Industrial Relations Commission of NSW</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(2010) 239 CLR 531;</w:t>
      </w:r>
      <w:r w:rsidRPr="00EE4C46">
        <w:rPr>
          <w:rFonts w:asciiTheme="minorHAnsi" w:hAnsiTheme="minorHAnsi" w:cstheme="minorHAnsi"/>
          <w:color w:val="2D3B45"/>
          <w:sz w:val="21"/>
          <w:szCs w:val="21"/>
        </w:rPr>
        <w:t xml:space="preserve"> </w:t>
      </w:r>
    </w:p>
    <w:p w14:paraId="642AF55D"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Criminal Procedure Act 1986</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(NSW) s 279</w:t>
      </w:r>
    </w:p>
    <w:p w14:paraId="5F13D39D"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16AA1E4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3.3       Sworn and unsworn evidence</w:t>
      </w:r>
    </w:p>
    <w:p w14:paraId="17586762"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21-25</w:t>
      </w:r>
    </w:p>
    <w:p w14:paraId="3582C90F"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75680F99"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3.4       Examination of witnesses</w:t>
      </w:r>
    </w:p>
    <w:p w14:paraId="342B67E7"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(a)        Examination-in-chief</w:t>
      </w:r>
    </w:p>
    <w:p w14:paraId="003DE48F"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26-29, 37</w:t>
      </w:r>
    </w:p>
    <w:p w14:paraId="6175FB0B"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GPI Leisure Corp Ltd v </w:t>
      </w:r>
      <w:proofErr w:type="spellStart"/>
      <w:r w:rsidRPr="00EE4C46">
        <w:rPr>
          <w:rStyle w:val="Emphasis"/>
          <w:rFonts w:asciiTheme="minorHAnsi" w:hAnsiTheme="minorHAnsi" w:cstheme="minorHAnsi"/>
          <w:color w:val="2D3B45"/>
          <w:sz w:val="21"/>
          <w:szCs w:val="21"/>
        </w:rPr>
        <w:t>Herdman</w:t>
      </w:r>
      <w:proofErr w:type="spellEnd"/>
      <w:r w:rsidRPr="00EE4C46">
        <w:rPr>
          <w:rStyle w:val="Emphasis"/>
          <w:rFonts w:asciiTheme="minorHAnsi" w:hAnsiTheme="minorHAnsi" w:cstheme="minorHAnsi"/>
          <w:color w:val="2D3B45"/>
          <w:sz w:val="21"/>
          <w:szCs w:val="21"/>
        </w:rPr>
        <w:t xml:space="preserve"> Investments</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(1990) 20 NSWLR 15 (KOP [2.180])</w:t>
      </w:r>
    </w:p>
    <w:p w14:paraId="062CBE93" w14:textId="0BCB159E"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Ryland v QBE Insurance (Australia) Ltd</w:t>
      </w:r>
    </w:p>
    <w:p w14:paraId="7D97CCA3" w14:textId="71EB0F4C"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Tootle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(2017) 94 NSWLR 430;</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[2.220]</w:t>
      </w:r>
    </w:p>
    <w:p w14:paraId="6416D7B3" w14:textId="61B6DD1B"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 xml:space="preserve"> </w:t>
      </w:r>
      <w:r w:rsidRPr="00EE4C46">
        <w:rPr>
          <w:rStyle w:val="Strong"/>
          <w:rFonts w:asciiTheme="minorHAnsi" w:hAnsiTheme="minorHAnsi" w:cstheme="minorHAnsi"/>
          <w:color w:val="2D3B45"/>
          <w:sz w:val="21"/>
          <w:szCs w:val="21"/>
        </w:rPr>
        <w:t>(b)       Reviving memory</w:t>
      </w:r>
    </w:p>
    <w:p w14:paraId="5B5DCC36"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32-34</w:t>
      </w:r>
    </w:p>
    <w:p w14:paraId="3F9B5DD6" w14:textId="4A7C5270"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Dodds</w:t>
      </w:r>
      <w:proofErr w:type="spellEnd"/>
      <w:r w:rsidRPr="00EE4C46">
        <w:rPr>
          <w:rStyle w:val="Emphasis"/>
          <w:rFonts w:asciiTheme="minorHAnsi" w:hAnsiTheme="minorHAnsi" w:cstheme="minorHAnsi"/>
          <w:color w:val="2D3B45"/>
          <w:sz w:val="21"/>
          <w:szCs w:val="21"/>
        </w:rPr>
        <w:t xml:space="preserve"> v The Queen </w:t>
      </w:r>
      <w:r w:rsidRPr="00EE4C46">
        <w:rPr>
          <w:rFonts w:asciiTheme="minorHAnsi" w:hAnsiTheme="minorHAnsi" w:cstheme="minorHAnsi"/>
          <w:color w:val="2D3B45"/>
          <w:sz w:val="21"/>
          <w:szCs w:val="21"/>
        </w:rPr>
        <w:t>(2009) 194 A Crim R 408</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[2.270])</w:t>
      </w:r>
    </w:p>
    <w:p w14:paraId="1E737A2A"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
    <w:p w14:paraId="466BBEB2"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(c)        Calling for a document</w:t>
      </w:r>
    </w:p>
    <w:p w14:paraId="2E7F985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 35</w:t>
      </w:r>
    </w:p>
    <w:p w14:paraId="70042E19"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6B6975E2"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(d)       Unfavourable witnesses</w:t>
      </w:r>
    </w:p>
    <w:p w14:paraId="47DC423B"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 38</w:t>
      </w:r>
    </w:p>
    <w:p w14:paraId="67E5B742" w14:textId="0666DB24"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Hogan</w:t>
      </w:r>
      <w:r w:rsidRPr="00EE4C46">
        <w:rPr>
          <w:rStyle w:val="Emphasis"/>
          <w:rFonts w:asciiTheme="minorHAnsi" w:hAnsiTheme="minorHAnsi" w:cstheme="minorHAnsi"/>
          <w:color w:val="2D3B45"/>
          <w:sz w:val="21"/>
          <w:szCs w:val="21"/>
        </w:rPr>
        <w:t xml:space="preserve"> </w:t>
      </w:r>
      <w:r w:rsidRPr="00EE4C46">
        <w:rPr>
          <w:rStyle w:val="Emphasis"/>
          <w:rFonts w:asciiTheme="minorHAnsi" w:hAnsiTheme="minorHAnsi" w:cstheme="minorHAnsi"/>
          <w:i w:val="0"/>
          <w:iCs w:val="0"/>
          <w:color w:val="2D3B45"/>
          <w:sz w:val="21"/>
          <w:szCs w:val="21"/>
        </w:rPr>
        <w:t>[2001] NSWCCA 292</w:t>
      </w:r>
      <w:r w:rsidRPr="00EE4C46">
        <w:rPr>
          <w:rStyle w:val="apple-converted-space"/>
          <w:rFonts w:asciiTheme="minorHAnsi" w:hAnsiTheme="minorHAnsi" w:cstheme="minorHAnsi"/>
          <w:color w:val="2D3B45"/>
          <w:sz w:val="21"/>
          <w:szCs w:val="21"/>
        </w:rPr>
        <w:t>;</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[2.290])</w:t>
      </w:r>
    </w:p>
    <w:p w14:paraId="72B45968" w14:textId="39773E5F"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Le</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(2002) 130 A Crim R 44;</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[2.300])</w:t>
      </w:r>
    </w:p>
    <w:p w14:paraId="0BD6E35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DPP v Garrett (a Pseudonym)</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[2016] VSCA 31</w:t>
      </w:r>
    </w:p>
    <w:p w14:paraId="4DDC647C" w14:textId="5FC3BB16"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Odisho</w:t>
      </w:r>
      <w:proofErr w:type="spellEnd"/>
      <w:r w:rsidRPr="00EE4C46">
        <w:rPr>
          <w:rStyle w:val="Emphasis"/>
          <w:rFonts w:asciiTheme="minorHAnsi" w:hAnsiTheme="minorHAnsi" w:cstheme="minorHAnsi"/>
          <w:color w:val="2D3B45"/>
          <w:sz w:val="21"/>
          <w:szCs w:val="21"/>
        </w:rPr>
        <w:t xml:space="preserve"> v The Queen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 xml:space="preserve">[2018] NSWCCA </w:t>
      </w:r>
      <w:r w:rsidRPr="00EE4C46">
        <w:rPr>
          <w:rFonts w:asciiTheme="minorHAnsi" w:hAnsiTheme="minorHAnsi" w:cstheme="minorHAnsi"/>
          <w:color w:val="2D3B45"/>
          <w:sz w:val="21"/>
          <w:szCs w:val="21"/>
        </w:rPr>
        <w:t>19, [</w:t>
      </w:r>
      <w:r w:rsidRPr="00EE4C46">
        <w:rPr>
          <w:rFonts w:asciiTheme="minorHAnsi" w:hAnsiTheme="minorHAnsi" w:cstheme="minorHAnsi"/>
          <w:color w:val="2D3B45"/>
          <w:sz w:val="21"/>
          <w:szCs w:val="21"/>
        </w:rPr>
        <w:t>1]-[78], [155]-[189]</w:t>
      </w:r>
    </w:p>
    <w:p w14:paraId="1B07C7C2"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lastRenderedPageBreak/>
        <w:t> </w:t>
      </w:r>
    </w:p>
    <w:p w14:paraId="148727BC"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3.5       Cross-examination of witnesses</w:t>
      </w:r>
      <w:r w:rsidRPr="00EE4C46">
        <w:rPr>
          <w:rStyle w:val="apple-converted-space"/>
          <w:rFonts w:asciiTheme="minorHAnsi" w:hAnsiTheme="minorHAnsi" w:cstheme="minorHAnsi"/>
          <w:b/>
          <w:bCs/>
          <w:color w:val="2D3B45"/>
          <w:sz w:val="21"/>
          <w:szCs w:val="21"/>
        </w:rPr>
        <w:t> </w:t>
      </w:r>
    </w:p>
    <w:p w14:paraId="200C0B00"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(a)        Form of questioning</w:t>
      </w:r>
    </w:p>
    <w:p w14:paraId="090EBF3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40-42, 38</w:t>
      </w:r>
    </w:p>
    <w:p w14:paraId="15CA6E02" w14:textId="0CFD8CDF"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Libke</w:t>
      </w:r>
      <w:proofErr w:type="spellEnd"/>
      <w:r w:rsidRPr="00EE4C46">
        <w:rPr>
          <w:rStyle w:val="Emphasis"/>
          <w:rFonts w:asciiTheme="minorHAnsi" w:hAnsiTheme="minorHAnsi" w:cstheme="minorHAnsi"/>
          <w:color w:val="2D3B45"/>
          <w:sz w:val="21"/>
          <w:szCs w:val="21"/>
        </w:rPr>
        <w:t xml:space="preserve">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(2007) 230 CLR 559;</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[2.320])</w:t>
      </w:r>
    </w:p>
    <w:p w14:paraId="11EB1214"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 </w:t>
      </w:r>
    </w:p>
    <w:p w14:paraId="02214A75"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(b)       Cross examination on documents</w:t>
      </w:r>
    </w:p>
    <w:p w14:paraId="52321F07"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43-45</w:t>
      </w:r>
    </w:p>
    <w:p w14:paraId="67DD360C"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 </w:t>
      </w:r>
    </w:p>
    <w:p w14:paraId="2C6F476C"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(c)        The Rule in</w:t>
      </w:r>
      <w:r w:rsidRPr="00EE4C46">
        <w:rPr>
          <w:rStyle w:val="apple-converted-space"/>
          <w:rFonts w:asciiTheme="minorHAnsi" w:hAnsiTheme="minorHAnsi" w:cstheme="minorHAnsi"/>
          <w:b/>
          <w:bCs/>
          <w:color w:val="2D3B45"/>
          <w:sz w:val="21"/>
          <w:szCs w:val="21"/>
        </w:rPr>
        <w:t> </w:t>
      </w:r>
      <w:r w:rsidRPr="00EE4C46">
        <w:rPr>
          <w:rStyle w:val="Emphasis"/>
          <w:rFonts w:asciiTheme="minorHAnsi" w:hAnsiTheme="minorHAnsi" w:cstheme="minorHAnsi"/>
          <w:b/>
          <w:bCs/>
          <w:color w:val="2D3B45"/>
          <w:sz w:val="21"/>
          <w:szCs w:val="21"/>
        </w:rPr>
        <w:t>Browne v Dunn</w:t>
      </w:r>
    </w:p>
    <w:p w14:paraId="4413C4A3"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 46 </w:t>
      </w:r>
    </w:p>
    <w:p w14:paraId="456B8937"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Browne v Dunn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(1894) 6 Reports 67 (KOP [2.350])</w:t>
      </w:r>
    </w:p>
    <w:p w14:paraId="497BE151" w14:textId="3389AB66"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Precision Plastics Pty Ltd v Demir</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(1975) 132 CLR 362;</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[2.360])</w:t>
      </w:r>
    </w:p>
    <w:p w14:paraId="307FAE34"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Payless </w:t>
      </w:r>
      <w:proofErr w:type="spellStart"/>
      <w:r w:rsidRPr="00EE4C46">
        <w:rPr>
          <w:rStyle w:val="Emphasis"/>
          <w:rFonts w:asciiTheme="minorHAnsi" w:hAnsiTheme="minorHAnsi" w:cstheme="minorHAnsi"/>
          <w:color w:val="2D3B45"/>
          <w:sz w:val="21"/>
          <w:szCs w:val="21"/>
        </w:rPr>
        <w:t>Superbarn</w:t>
      </w:r>
      <w:proofErr w:type="spellEnd"/>
      <w:r w:rsidRPr="00EE4C46">
        <w:rPr>
          <w:rStyle w:val="Emphasis"/>
          <w:rFonts w:asciiTheme="minorHAnsi" w:hAnsiTheme="minorHAnsi" w:cstheme="minorHAnsi"/>
          <w:color w:val="2D3B45"/>
          <w:sz w:val="21"/>
          <w:szCs w:val="21"/>
        </w:rPr>
        <w:t xml:space="preserve"> Pty Ltd v O’Gara</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(1990) 19 NSWLR (KOP [2.370])</w:t>
      </w:r>
    </w:p>
    <w:p w14:paraId="2D4AC933"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Birks</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(1990) 19 NSWLR 677 (KOP [2.380])</w:t>
      </w:r>
    </w:p>
    <w:p w14:paraId="291567DF" w14:textId="2C7D1FBB"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Khamis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(2010) 203 A Crim R 121;</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[2.400])</w:t>
      </w:r>
    </w:p>
    <w:p w14:paraId="5737021A"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
    <w:p w14:paraId="353E8E49" w14:textId="74588FFC"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SWC</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(2007) 175 A Crim R 71;</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[2.410])</w:t>
      </w:r>
    </w:p>
    <w:p w14:paraId="0498B002"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
    <w:p w14:paraId="6F2A262A"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Ward v The Queen</w:t>
      </w:r>
      <w:r w:rsidRPr="00EE4C46">
        <w:rPr>
          <w:rStyle w:val="Emphasis"/>
          <w:rFonts w:asciiTheme="minorHAnsi" w:hAnsiTheme="minorHAnsi" w:cstheme="minorHAnsi"/>
          <w:i w:val="0"/>
          <w:iCs w:val="0"/>
          <w:color w:val="2D3B45"/>
          <w:sz w:val="21"/>
          <w:szCs w:val="21"/>
        </w:rPr>
        <w:t xml:space="preserve"> [2017] VSCA 37</w:t>
      </w:r>
      <w:r w:rsidRPr="00EE4C46">
        <w:rPr>
          <w:rStyle w:val="apple-converted-space"/>
          <w:rFonts w:asciiTheme="minorHAnsi" w:hAnsiTheme="minorHAnsi" w:cstheme="minorHAnsi"/>
          <w:i/>
          <w:iCs/>
          <w:color w:val="2D3B45"/>
          <w:sz w:val="21"/>
          <w:szCs w:val="21"/>
        </w:rPr>
        <w:t>;</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[2.420])</w:t>
      </w:r>
    </w:p>
    <w:p w14:paraId="0B99F5F3"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
    <w:p w14:paraId="664D4205" w14:textId="3F0706BA"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Fonts w:asciiTheme="minorHAnsi" w:hAnsiTheme="minorHAnsi" w:cstheme="minorHAnsi"/>
          <w:i/>
          <w:iCs/>
          <w:color w:val="2D3B45"/>
          <w:sz w:val="21"/>
          <w:szCs w:val="21"/>
        </w:rPr>
        <w:t>Kadir v The Queen;</w:t>
      </w:r>
      <w:r w:rsidRPr="00EE4C46">
        <w:rPr>
          <w:rStyle w:val="apple-converted-space"/>
          <w:rFonts w:asciiTheme="minorHAnsi" w:hAnsiTheme="minorHAnsi" w:cstheme="minorHAnsi"/>
          <w:i/>
          <w:iCs/>
          <w:color w:val="2D3B45"/>
          <w:sz w:val="21"/>
          <w:szCs w:val="21"/>
        </w:rPr>
        <w:t> </w:t>
      </w:r>
      <w:proofErr w:type="spellStart"/>
      <w:r w:rsidRPr="00EE4C46">
        <w:rPr>
          <w:rFonts w:asciiTheme="minorHAnsi" w:hAnsiTheme="minorHAnsi" w:cstheme="minorHAnsi"/>
          <w:i/>
          <w:iCs/>
          <w:color w:val="2D3B45"/>
          <w:sz w:val="21"/>
          <w:szCs w:val="21"/>
        </w:rPr>
        <w:t>Grech</w:t>
      </w:r>
      <w:proofErr w:type="spellEnd"/>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i/>
          <w:iCs/>
          <w:color w:val="2D3B45"/>
          <w:sz w:val="21"/>
          <w:szCs w:val="21"/>
        </w:rPr>
        <w:t>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[2020] HCA 1</w:t>
      </w:r>
    </w:p>
    <w:p w14:paraId="3CEAA005"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1009B05E"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3.6</w:t>
      </w:r>
      <w:r w:rsidRPr="00EE4C46">
        <w:rPr>
          <w:rStyle w:val="apple-converted-space"/>
          <w:rFonts w:asciiTheme="minorHAnsi" w:hAnsiTheme="minorHAnsi" w:cstheme="minorHAnsi"/>
          <w:b/>
          <w:bCs/>
          <w:color w:val="2D3B45"/>
          <w:sz w:val="21"/>
          <w:szCs w:val="21"/>
        </w:rPr>
        <w:t> </w:t>
      </w:r>
      <w:r w:rsidRPr="00EE4C46">
        <w:rPr>
          <w:rStyle w:val="Strong"/>
          <w:rFonts w:asciiTheme="minorHAnsi" w:hAnsiTheme="minorHAnsi" w:cstheme="minorHAnsi"/>
          <w:color w:val="2D3B45"/>
          <w:sz w:val="21"/>
          <w:szCs w:val="21"/>
        </w:rPr>
        <w:t>      Re-examination</w:t>
      </w:r>
    </w:p>
    <w:p w14:paraId="5EBFC3BD"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 39</w:t>
      </w:r>
    </w:p>
    <w:p w14:paraId="0BEA42BE" w14:textId="6593684C"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Drabsch</w:t>
      </w:r>
      <w:proofErr w:type="spellEnd"/>
      <w:r w:rsidRPr="00EE4C46">
        <w:rPr>
          <w:rStyle w:val="Emphasis"/>
          <w:rFonts w:asciiTheme="minorHAnsi" w:hAnsiTheme="minorHAnsi" w:cstheme="minorHAnsi"/>
          <w:color w:val="2D3B45"/>
          <w:sz w:val="21"/>
          <w:szCs w:val="21"/>
        </w:rPr>
        <w:t xml:space="preserve"> v Switzerland General Insurance Co Ltd</w:t>
      </w:r>
      <w:r w:rsidRPr="00EE4C46">
        <w:rPr>
          <w:rStyle w:val="apple-converted-space"/>
          <w:rFonts w:asciiTheme="minorHAnsi" w:hAnsiTheme="minorHAnsi" w:cstheme="minorHAnsi"/>
          <w:color w:val="2D3B45"/>
          <w:sz w:val="21"/>
          <w:szCs w:val="21"/>
        </w:rPr>
        <w:t> </w:t>
      </w:r>
      <w:r w:rsidRPr="00EE4C46">
        <w:rPr>
          <w:rStyle w:val="apple-converted-space"/>
          <w:rFonts w:asciiTheme="minorHAnsi" w:hAnsiTheme="minorHAnsi" w:cstheme="minorHAnsi"/>
          <w:color w:val="2D3B45"/>
          <w:sz w:val="21"/>
          <w:szCs w:val="21"/>
        </w:rPr>
        <w:t>[1999] NSWSC 765</w:t>
      </w:r>
      <w:r w:rsidRPr="00EE4C46">
        <w:rPr>
          <w:rStyle w:val="apple-converted-space"/>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[2.440])</w:t>
      </w:r>
    </w:p>
    <w:p w14:paraId="63152225" w14:textId="77777777"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
    <w:p w14:paraId="350F2719"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3.7</w:t>
      </w:r>
      <w:r w:rsidRPr="00EE4C46">
        <w:rPr>
          <w:rStyle w:val="apple-converted-space"/>
          <w:rFonts w:asciiTheme="minorHAnsi" w:hAnsiTheme="minorHAnsi" w:cstheme="minorHAnsi"/>
          <w:b/>
          <w:bCs/>
          <w:color w:val="2D3B45"/>
          <w:sz w:val="21"/>
          <w:szCs w:val="21"/>
        </w:rPr>
        <w:t> </w:t>
      </w:r>
      <w:r w:rsidRPr="00EE4C46">
        <w:rPr>
          <w:rStyle w:val="Strong"/>
          <w:rFonts w:asciiTheme="minorHAnsi" w:hAnsiTheme="minorHAnsi" w:cstheme="minorHAnsi"/>
          <w:color w:val="2D3B45"/>
          <w:sz w:val="21"/>
          <w:szCs w:val="21"/>
        </w:rPr>
        <w:t>     Re-opening a Case</w:t>
      </w:r>
    </w:p>
    <w:p w14:paraId="215BCD24" w14:textId="505F078E"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Chin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(1985) 157 CLR 671;</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[2.460])</w:t>
      </w:r>
    </w:p>
    <w:p w14:paraId="59D9967F" w14:textId="2DCFAE54"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Morris v The Queen</w:t>
      </w:r>
      <w:r w:rsidRPr="00EE4C46">
        <w:rPr>
          <w:rStyle w:val="Emphasis"/>
          <w:rFonts w:asciiTheme="minorHAnsi" w:hAnsiTheme="minorHAnsi" w:cstheme="minorHAnsi"/>
          <w:i w:val="0"/>
          <w:iCs w:val="0"/>
          <w:color w:val="2D3B45"/>
          <w:sz w:val="21"/>
          <w:szCs w:val="21"/>
        </w:rPr>
        <w:t xml:space="preserve"> [2010] NSWCCA 152</w:t>
      </w:r>
    </w:p>
    <w:p w14:paraId="0ADAB0C2" w14:textId="02FCC6BB"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Urban Transport Authority of NSW v </w:t>
      </w:r>
      <w:proofErr w:type="spellStart"/>
      <w:r w:rsidRPr="00EE4C46">
        <w:rPr>
          <w:rStyle w:val="Emphasis"/>
          <w:rFonts w:asciiTheme="minorHAnsi" w:hAnsiTheme="minorHAnsi" w:cstheme="minorHAnsi"/>
          <w:color w:val="2D3B45"/>
          <w:sz w:val="21"/>
          <w:szCs w:val="21"/>
        </w:rPr>
        <w:t>Nweiser</w:t>
      </w:r>
      <w:proofErr w:type="spellEnd"/>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(1992) 28 NSWLR 471 (KOP [2.470]) </w:t>
      </w:r>
    </w:p>
    <w:p w14:paraId="02BBCBFC" w14:textId="02CD2C83"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3.8</w:t>
      </w:r>
      <w:r w:rsidRPr="00EE4C46">
        <w:rPr>
          <w:rStyle w:val="apple-converted-space"/>
          <w:rFonts w:asciiTheme="minorHAnsi" w:hAnsiTheme="minorHAnsi" w:cstheme="minorHAnsi"/>
          <w:b/>
          <w:bCs/>
          <w:color w:val="2D3B45"/>
          <w:sz w:val="21"/>
          <w:szCs w:val="21"/>
        </w:rPr>
        <w:t> </w:t>
      </w:r>
      <w:r w:rsidRPr="00EE4C46">
        <w:rPr>
          <w:rStyle w:val="Strong"/>
          <w:rFonts w:asciiTheme="minorHAnsi" w:hAnsiTheme="minorHAnsi" w:cstheme="minorHAnsi"/>
          <w:color w:val="2D3B45"/>
          <w:sz w:val="21"/>
          <w:szCs w:val="21"/>
        </w:rPr>
        <w:t xml:space="preserve">    Vulnerable </w:t>
      </w:r>
      <w:r w:rsidRPr="00EE4C46">
        <w:rPr>
          <w:rStyle w:val="Strong"/>
          <w:rFonts w:asciiTheme="minorHAnsi" w:hAnsiTheme="minorHAnsi" w:cstheme="minorHAnsi"/>
          <w:color w:val="2D3B45"/>
          <w:sz w:val="21"/>
          <w:szCs w:val="21"/>
        </w:rPr>
        <w:t>witnesses</w:t>
      </w:r>
    </w:p>
    <w:p w14:paraId="798D3D4A" w14:textId="14313CFD"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Criminal Procedure Act 1986</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 xml:space="preserve">(NSW), ss 291-291C, 294A-294C, 306M-306P, 306ZA, 306ZB, 306ZC, 306ZI, 306ZL.  Schedule 2, Part 29, particularly </w:t>
      </w:r>
      <w:proofErr w:type="spellStart"/>
      <w:r w:rsidRPr="00EE4C46">
        <w:rPr>
          <w:rFonts w:asciiTheme="minorHAnsi" w:hAnsiTheme="minorHAnsi" w:cstheme="minorHAnsi"/>
          <w:color w:val="2D3B45"/>
          <w:sz w:val="21"/>
          <w:szCs w:val="21"/>
        </w:rPr>
        <w:t>cll</w:t>
      </w:r>
      <w:proofErr w:type="spellEnd"/>
      <w:r w:rsidRPr="00EE4C46">
        <w:rPr>
          <w:rFonts w:asciiTheme="minorHAnsi" w:hAnsiTheme="minorHAnsi" w:cstheme="minorHAnsi"/>
          <w:color w:val="2D3B45"/>
          <w:sz w:val="21"/>
          <w:szCs w:val="21"/>
        </w:rPr>
        <w:t xml:space="preserve"> 82, 84, 85, 87, 88, 89, 90, 91.</w:t>
      </w:r>
    </w:p>
    <w:p w14:paraId="28BF63F6" w14:textId="77777777" w:rsidR="00131463" w:rsidRPr="00EE4C46" w:rsidRDefault="00131463" w:rsidP="00131463">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4       Documents</w:t>
      </w:r>
    </w:p>
    <w:p w14:paraId="516AAB95"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47-51</w:t>
      </w:r>
    </w:p>
    <w:p w14:paraId="04455D75" w14:textId="539D9E60"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lastRenderedPageBreak/>
        <w:t>Butera v DPP</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(1987) 164 CLR 180;</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[3.50])</w:t>
      </w:r>
    </w:p>
    <w:p w14:paraId="741EFB50" w14:textId="7C706B4D"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Foreign Media v </w:t>
      </w:r>
      <w:proofErr w:type="spellStart"/>
      <w:r w:rsidRPr="00EE4C46">
        <w:rPr>
          <w:rStyle w:val="Emphasis"/>
          <w:rFonts w:asciiTheme="minorHAnsi" w:hAnsiTheme="minorHAnsi" w:cstheme="minorHAnsi"/>
          <w:color w:val="2D3B45"/>
          <w:sz w:val="21"/>
          <w:szCs w:val="21"/>
        </w:rPr>
        <w:t>Konstantinidis</w:t>
      </w:r>
      <w:proofErr w:type="spellEnd"/>
      <w:r w:rsidR="00EE4C46" w:rsidRPr="00EE4C46">
        <w:rPr>
          <w:rStyle w:val="Emphasis"/>
          <w:rFonts w:asciiTheme="minorHAnsi" w:hAnsiTheme="minorHAnsi" w:cstheme="minorHAnsi"/>
          <w:color w:val="2D3B45"/>
          <w:sz w:val="21"/>
          <w:szCs w:val="21"/>
        </w:rPr>
        <w:t xml:space="preserve"> </w:t>
      </w:r>
      <w:r w:rsidR="00EE4C46" w:rsidRPr="00EE4C46">
        <w:rPr>
          <w:rStyle w:val="Emphasis"/>
          <w:rFonts w:asciiTheme="minorHAnsi" w:hAnsiTheme="minorHAnsi" w:cstheme="minorHAnsi"/>
          <w:i w:val="0"/>
          <w:iCs w:val="0"/>
          <w:color w:val="2D3B45"/>
          <w:sz w:val="21"/>
          <w:szCs w:val="21"/>
        </w:rPr>
        <w:t>[2003] NSWCA 161</w:t>
      </w:r>
      <w:r w:rsidR="00EE4C46" w:rsidRPr="00EE4C46">
        <w:rPr>
          <w:rStyle w:val="apple-converted-space"/>
          <w:rFonts w:asciiTheme="minorHAnsi" w:hAnsiTheme="minorHAnsi" w:cstheme="minorHAnsi"/>
          <w:color w:val="2D3B45"/>
          <w:sz w:val="21"/>
          <w:szCs w:val="21"/>
        </w:rPr>
        <w:t>;</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[3.60])</w:t>
      </w:r>
    </w:p>
    <w:p w14:paraId="639C1389" w14:textId="4DA22E3A"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Wade (A pseudonym) v The Queen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(2014) 41 VR 434;</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[3.70])</w:t>
      </w:r>
    </w:p>
    <w:p w14:paraId="75A66920" w14:textId="6CF5BF3A"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NAB v </w:t>
      </w:r>
      <w:proofErr w:type="spellStart"/>
      <w:r w:rsidRPr="00EE4C46">
        <w:rPr>
          <w:rStyle w:val="Emphasis"/>
          <w:rFonts w:asciiTheme="minorHAnsi" w:hAnsiTheme="minorHAnsi" w:cstheme="minorHAnsi"/>
          <w:color w:val="2D3B45"/>
          <w:sz w:val="21"/>
          <w:szCs w:val="21"/>
        </w:rPr>
        <w:t>Rusu</w:t>
      </w:r>
      <w:proofErr w:type="spellEnd"/>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(1999) 47 NSWLR 309;</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[3.80])</w:t>
      </w:r>
    </w:p>
    <w:p w14:paraId="0C1BE238" w14:textId="26A20022"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Australian Competition and Consumer Commission v Air New Zealand Ltd</w:t>
      </w:r>
      <w:r w:rsidRPr="00EE4C46">
        <w:rPr>
          <w:rStyle w:val="apple-converted-space"/>
          <w:rFonts w:asciiTheme="minorHAnsi" w:hAnsiTheme="minorHAnsi" w:cstheme="minorHAnsi"/>
          <w:i/>
          <w:iCs/>
          <w:color w:val="2D3B45"/>
          <w:sz w:val="21"/>
          <w:szCs w:val="21"/>
        </w:rPr>
        <w:t> </w:t>
      </w:r>
      <w:r w:rsidRPr="00EE4C46">
        <w:rPr>
          <w:rStyle w:val="Emphasis"/>
          <w:rFonts w:asciiTheme="minorHAnsi" w:hAnsiTheme="minorHAnsi" w:cstheme="minorHAnsi"/>
          <w:color w:val="2D3B45"/>
          <w:sz w:val="21"/>
          <w:szCs w:val="21"/>
        </w:rPr>
        <w:t>(No 1)</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(2012) 207 FCR 448; 301 ALR 326</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[3.90])</w:t>
      </w:r>
    </w:p>
    <w:p w14:paraId="24C23FE8"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Re Idyllic Solutions Pty Ltd</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[2012] NSWSC 568 (KOP [3.120])</w:t>
      </w:r>
    </w:p>
    <w:p w14:paraId="4B1A7EA6"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52797833" w14:textId="77777777" w:rsidR="00131463" w:rsidRPr="00EE4C46" w:rsidRDefault="00131463" w:rsidP="00131463">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5       Real evidence</w:t>
      </w:r>
      <w:r w:rsidRPr="00EE4C46">
        <w:rPr>
          <w:rFonts w:asciiTheme="minorHAnsi" w:hAnsiTheme="minorHAnsi" w:cstheme="minorHAnsi"/>
          <w:b w:val="0"/>
          <w:bCs w:val="0"/>
          <w:color w:val="2D3B45"/>
          <w:sz w:val="21"/>
          <w:szCs w:val="21"/>
        </w:rPr>
        <w:t> </w:t>
      </w:r>
    </w:p>
    <w:p w14:paraId="19052AD3"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52-54</w:t>
      </w:r>
    </w:p>
    <w:p w14:paraId="7648A283" w14:textId="77777777" w:rsidR="00131463" w:rsidRPr="00EE4C46" w:rsidRDefault="00131463" w:rsidP="00131463">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Milat</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(Unreported, Supreme Court of New South Wales, Hunt CJ, 12 April 1996) (KOP [4.40])</w:t>
      </w:r>
    </w:p>
    <w:p w14:paraId="5B8F6ED4" w14:textId="098075EF"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Evans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(2007) 235 CLR 521;</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[4.50])</w:t>
      </w:r>
    </w:p>
    <w:p w14:paraId="289BA2F1" w14:textId="2F5E3126"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Skaf</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(2004) 60 NSWLR 86;</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[4.60])</w:t>
      </w:r>
    </w:p>
    <w:p w14:paraId="75C6CEEA" w14:textId="669688E4" w:rsidR="00131463" w:rsidRPr="00EE4C46" w:rsidRDefault="00131463" w:rsidP="00131463">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Kozul</w:t>
      </w:r>
      <w:proofErr w:type="spellEnd"/>
      <w:r w:rsidRPr="00EE4C46">
        <w:rPr>
          <w:rStyle w:val="Emphasis"/>
          <w:rFonts w:asciiTheme="minorHAnsi" w:hAnsiTheme="minorHAnsi" w:cstheme="minorHAnsi"/>
          <w:color w:val="2D3B45"/>
          <w:sz w:val="21"/>
          <w:szCs w:val="21"/>
        </w:rPr>
        <w:t xml:space="preserve">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(1981) 147 CLR 221;</w:t>
      </w:r>
      <w:r w:rsidR="00EE4C46"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[4.80])</w:t>
      </w:r>
    </w:p>
    <w:p w14:paraId="44E0BE24" w14:textId="77777777" w:rsidR="00EE4C46" w:rsidRPr="00EE4C46" w:rsidRDefault="00EE4C46" w:rsidP="00EE4C46">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(6)   Relevance</w:t>
      </w:r>
    </w:p>
    <w:p w14:paraId="7CEB4AD5"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Further reading: Hunter et al,</w:t>
      </w:r>
      <w:r w:rsidRPr="00EE4C46">
        <w:rPr>
          <w:rStyle w:val="apple-converted-space"/>
          <w:rFonts w:asciiTheme="minorHAnsi" w:hAnsiTheme="minorHAnsi" w:cstheme="minorHAnsi"/>
          <w:color w:val="2D3B45"/>
          <w:sz w:val="21"/>
          <w:szCs w:val="21"/>
        </w:rPr>
        <w:t> </w:t>
      </w:r>
      <w:r w:rsidRPr="00EE4C46">
        <w:rPr>
          <w:rStyle w:val="Emphasis"/>
          <w:rFonts w:asciiTheme="minorHAnsi" w:hAnsiTheme="minorHAnsi" w:cstheme="minorHAnsi"/>
          <w:color w:val="2D3B45"/>
          <w:sz w:val="21"/>
          <w:szCs w:val="21"/>
        </w:rPr>
        <w:t>The Trial</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(2015), “Introducing the Law of Evidence: Relevance, Discretions and Fairness”</w:t>
      </w:r>
    </w:p>
    <w:p w14:paraId="69A2D2D3"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 </w:t>
      </w:r>
    </w:p>
    <w:p w14:paraId="267ED5D3"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55-58                                                   </w:t>
      </w:r>
    </w:p>
    <w:p w14:paraId="6ADDCC14" w14:textId="10C8962E"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Smith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(2001) 206 CLR 650;</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[5.40])</w:t>
      </w:r>
    </w:p>
    <w:p w14:paraId="59EAFF98" w14:textId="6E749C07"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Evans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(2007) 235 CLR 521;</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[5.60])</w:t>
      </w:r>
    </w:p>
    <w:p w14:paraId="275C4C74"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1AEDB6A4"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2C846368" w14:textId="77777777" w:rsidR="00EE4C46" w:rsidRPr="00EE4C46" w:rsidRDefault="00EE4C46" w:rsidP="00EE4C46">
      <w:pPr>
        <w:pStyle w:val="Heading3"/>
        <w:spacing w:before="90" w:beforeAutospacing="0" w:after="90" w:afterAutospacing="0"/>
        <w:rPr>
          <w:rFonts w:asciiTheme="minorHAnsi" w:hAnsiTheme="minorHAnsi" w:cstheme="minorHAnsi"/>
          <w:b w:val="0"/>
          <w:bCs w:val="0"/>
          <w:color w:val="2D3B45"/>
          <w:sz w:val="21"/>
          <w:szCs w:val="21"/>
        </w:rPr>
      </w:pPr>
      <w:r w:rsidRPr="00EE4C46">
        <w:rPr>
          <w:rStyle w:val="Strong"/>
          <w:rFonts w:asciiTheme="minorHAnsi" w:hAnsiTheme="minorHAnsi" w:cstheme="minorHAnsi"/>
          <w:b/>
          <w:bCs/>
          <w:color w:val="2D3B45"/>
          <w:sz w:val="21"/>
          <w:szCs w:val="21"/>
        </w:rPr>
        <w:t>(7)   Discretionary exclusions</w:t>
      </w:r>
    </w:p>
    <w:p w14:paraId="6DE65E9A"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7.1       Probative value</w:t>
      </w:r>
    </w:p>
    <w:p w14:paraId="39C8214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135-137</w:t>
      </w:r>
    </w:p>
    <w:p w14:paraId="4DB1407D" w14:textId="38F192B4"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IMM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(2016) 257 CLR 300;</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[6.40])</w:t>
      </w:r>
    </w:p>
    <w:p w14:paraId="2403CEE2" w14:textId="5F044A37"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Dickman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(2017) 344 ALR 474;</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[6.50])</w:t>
      </w:r>
    </w:p>
    <w:p w14:paraId="412474EA" w14:textId="5B9ECE07"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w:t>
      </w:r>
      <w:r w:rsidRPr="00EE4C46">
        <w:rPr>
          <w:rStyle w:val="apple-converted-space"/>
          <w:rFonts w:asciiTheme="minorHAnsi" w:hAnsiTheme="minorHAnsi" w:cstheme="minorHAnsi"/>
          <w:color w:val="2D3B45"/>
          <w:sz w:val="21"/>
          <w:szCs w:val="21"/>
        </w:rPr>
        <w:t> </w:t>
      </w:r>
      <w:proofErr w:type="spellStart"/>
      <w:r w:rsidRPr="00EE4C46">
        <w:rPr>
          <w:rStyle w:val="Emphasis"/>
          <w:rFonts w:asciiTheme="minorHAnsi" w:hAnsiTheme="minorHAnsi" w:cstheme="minorHAnsi"/>
          <w:color w:val="2D3B45"/>
          <w:sz w:val="21"/>
          <w:szCs w:val="21"/>
        </w:rPr>
        <w:t>Sood</w:t>
      </w:r>
      <w:proofErr w:type="spellEnd"/>
      <w:r w:rsidRPr="00EE4C46">
        <w:rPr>
          <w:rStyle w:val="Emphasis"/>
          <w:rFonts w:asciiTheme="minorHAnsi" w:hAnsiTheme="minorHAnsi" w:cstheme="minorHAnsi"/>
          <w:color w:val="2D3B45"/>
          <w:sz w:val="21"/>
          <w:szCs w:val="21"/>
        </w:rPr>
        <w:t xml:space="preserve"> </w:t>
      </w:r>
      <w:r w:rsidRPr="00EE4C46">
        <w:rPr>
          <w:rStyle w:val="Emphasis"/>
          <w:rFonts w:asciiTheme="minorHAnsi" w:hAnsiTheme="minorHAnsi" w:cstheme="minorHAnsi"/>
          <w:i w:val="0"/>
          <w:iCs w:val="0"/>
          <w:color w:val="2D3B45"/>
          <w:sz w:val="21"/>
          <w:szCs w:val="21"/>
        </w:rPr>
        <w:t>[2007] NSWCCA 214</w:t>
      </w:r>
      <w:r w:rsidRPr="00EE4C46">
        <w:rPr>
          <w:rStyle w:val="apple-converted-space"/>
          <w:rFonts w:asciiTheme="minorHAnsi" w:hAnsiTheme="minorHAnsi" w:cstheme="minorHAnsi"/>
          <w:i/>
          <w:iCs/>
          <w:color w:val="2D3B45"/>
          <w:sz w:val="21"/>
          <w:szCs w:val="21"/>
        </w:rPr>
        <w:t>;</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[6.60])</w:t>
      </w:r>
    </w:p>
    <w:p w14:paraId="2EA6136B"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w:t>
      </w:r>
    </w:p>
    <w:p w14:paraId="3443C49E"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7.2       Unfair prejudice</w:t>
      </w:r>
      <w:r w:rsidRPr="00EE4C46">
        <w:rPr>
          <w:rStyle w:val="apple-converted-space"/>
          <w:rFonts w:asciiTheme="minorHAnsi" w:hAnsiTheme="minorHAnsi" w:cstheme="minorHAnsi"/>
          <w:b/>
          <w:bCs/>
          <w:color w:val="2D3B45"/>
          <w:sz w:val="21"/>
          <w:szCs w:val="21"/>
        </w:rPr>
        <w:t> </w:t>
      </w:r>
    </w:p>
    <w:p w14:paraId="26DAA59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proofErr w:type="gramStart"/>
      <w:r w:rsidRPr="00EE4C46">
        <w:rPr>
          <w:rFonts w:asciiTheme="minorHAnsi" w:hAnsiTheme="minorHAnsi" w:cstheme="minorHAnsi"/>
          <w:color w:val="2D3B45"/>
          <w:sz w:val="21"/>
          <w:szCs w:val="21"/>
        </w:rPr>
        <w:t>EA  ss</w:t>
      </w:r>
      <w:proofErr w:type="gramEnd"/>
      <w:r w:rsidRPr="00EE4C46">
        <w:rPr>
          <w:rFonts w:asciiTheme="minorHAnsi" w:hAnsiTheme="minorHAnsi" w:cstheme="minorHAnsi"/>
          <w:color w:val="2D3B45"/>
          <w:sz w:val="21"/>
          <w:szCs w:val="21"/>
        </w:rPr>
        <w:t xml:space="preserve"> 135-137</w:t>
      </w:r>
    </w:p>
    <w:p w14:paraId="2D0F2A35" w14:textId="748EA396"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Ordukaya</w:t>
      </w:r>
      <w:proofErr w:type="spellEnd"/>
      <w:r w:rsidRPr="00EE4C46">
        <w:rPr>
          <w:rStyle w:val="Emphasis"/>
          <w:rFonts w:asciiTheme="minorHAnsi" w:hAnsiTheme="minorHAnsi" w:cstheme="minorHAnsi"/>
          <w:color w:val="2D3B45"/>
          <w:sz w:val="21"/>
          <w:szCs w:val="21"/>
        </w:rPr>
        <w:t xml:space="preserve"> v </w:t>
      </w:r>
      <w:proofErr w:type="gramStart"/>
      <w:r w:rsidRPr="00EE4C46">
        <w:rPr>
          <w:rStyle w:val="Emphasis"/>
          <w:rFonts w:asciiTheme="minorHAnsi" w:hAnsiTheme="minorHAnsi" w:cstheme="minorHAnsi"/>
          <w:color w:val="2D3B45"/>
          <w:sz w:val="21"/>
          <w:szCs w:val="21"/>
        </w:rPr>
        <w:t>Hicks</w:t>
      </w:r>
      <w:r w:rsidRPr="00EE4C46">
        <w:rPr>
          <w:rStyle w:val="Emphasis"/>
          <w:rFonts w:asciiTheme="minorHAnsi" w:hAnsiTheme="minorHAnsi" w:cstheme="minorHAnsi"/>
          <w:i w:val="0"/>
          <w:iCs w:val="0"/>
          <w:color w:val="2D3B45"/>
          <w:sz w:val="21"/>
          <w:szCs w:val="21"/>
        </w:rPr>
        <w:t>[</w:t>
      </w:r>
      <w:proofErr w:type="gramEnd"/>
      <w:r w:rsidRPr="00EE4C46">
        <w:rPr>
          <w:rStyle w:val="Emphasis"/>
          <w:rFonts w:asciiTheme="minorHAnsi" w:hAnsiTheme="minorHAnsi" w:cstheme="minorHAnsi"/>
          <w:i w:val="0"/>
          <w:iCs w:val="0"/>
          <w:color w:val="2D3B45"/>
          <w:sz w:val="21"/>
          <w:szCs w:val="21"/>
        </w:rPr>
        <w:t>2000] NSWCA 180</w:t>
      </w:r>
      <w:r w:rsidRPr="00EE4C46">
        <w:rPr>
          <w:rStyle w:val="apple-converted-space"/>
          <w:rFonts w:asciiTheme="minorHAnsi" w:hAnsiTheme="minorHAnsi" w:cstheme="minorHAnsi"/>
          <w:i/>
          <w:iCs/>
          <w:color w:val="2D3B45"/>
          <w:sz w:val="21"/>
          <w:szCs w:val="21"/>
        </w:rPr>
        <w:t>;</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[6.80])</w:t>
      </w:r>
    </w:p>
    <w:p w14:paraId="39D30E5E" w14:textId="6478638E"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Ainsworth v Burden</w:t>
      </w:r>
      <w:r w:rsidRPr="00EE4C46">
        <w:rPr>
          <w:rStyle w:val="Emphasis"/>
          <w:rFonts w:asciiTheme="minorHAnsi" w:hAnsiTheme="minorHAnsi" w:cstheme="minorHAnsi"/>
          <w:color w:val="2D3B45"/>
          <w:sz w:val="21"/>
          <w:szCs w:val="21"/>
        </w:rPr>
        <w:t xml:space="preserve"> </w:t>
      </w:r>
      <w:r w:rsidRPr="00EE4C46">
        <w:rPr>
          <w:rStyle w:val="Emphasis"/>
          <w:rFonts w:asciiTheme="minorHAnsi" w:hAnsiTheme="minorHAnsi" w:cstheme="minorHAnsi"/>
          <w:i w:val="0"/>
          <w:iCs w:val="0"/>
          <w:color w:val="2D3B45"/>
          <w:sz w:val="21"/>
          <w:szCs w:val="21"/>
        </w:rPr>
        <w:t>[2005] NSWCA 174</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[6.90])</w:t>
      </w:r>
    </w:p>
    <w:p w14:paraId="70DB0130" w14:textId="1D349E94"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La Trobe Capital &amp; Mortgage Corporation Limited v Hay Property Consultants Pty Ltd</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(2011) 190 FCR 299;</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[6.100])</w:t>
      </w:r>
    </w:p>
    <w:p w14:paraId="1CC994DD"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4A79DFC6" w14:textId="77777777" w:rsid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7.3       Prosecution evidence in criminal proceedings</w:t>
      </w:r>
    </w:p>
    <w:p w14:paraId="1F9AB44F" w14:textId="1BEF681D"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lastRenderedPageBreak/>
        <w:t>EA s 137</w:t>
      </w:r>
    </w:p>
    <w:p w14:paraId="0D03F991" w14:textId="37C78C2C"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w:t>
      </w:r>
      <w:r w:rsidRPr="00EE4C46">
        <w:rPr>
          <w:rStyle w:val="apple-converted-space"/>
          <w:rFonts w:asciiTheme="minorHAnsi" w:hAnsiTheme="minorHAnsi" w:cstheme="minorHAnsi"/>
          <w:color w:val="2D3B45"/>
          <w:sz w:val="21"/>
          <w:szCs w:val="21"/>
        </w:rPr>
        <w:t> </w:t>
      </w:r>
      <w:proofErr w:type="spellStart"/>
      <w:r w:rsidRPr="00EE4C46">
        <w:rPr>
          <w:rStyle w:val="Emphasis"/>
          <w:rFonts w:asciiTheme="minorHAnsi" w:hAnsiTheme="minorHAnsi" w:cstheme="minorHAnsi"/>
          <w:color w:val="2D3B45"/>
          <w:sz w:val="21"/>
          <w:szCs w:val="21"/>
        </w:rPr>
        <w:t>Sood</w:t>
      </w:r>
      <w:proofErr w:type="spellEnd"/>
      <w:r w:rsidRPr="00EE4C46">
        <w:rPr>
          <w:rStyle w:val="Emphasis"/>
          <w:rFonts w:asciiTheme="minorHAnsi" w:hAnsiTheme="minorHAnsi" w:cstheme="minorHAnsi"/>
          <w:i w:val="0"/>
          <w:iCs w:val="0"/>
          <w:color w:val="2D3B45"/>
          <w:sz w:val="21"/>
          <w:szCs w:val="21"/>
        </w:rPr>
        <w:t xml:space="preserve"> [2007] NSWCCA 214</w:t>
      </w:r>
      <w:r w:rsidRPr="00EE4C46">
        <w:rPr>
          <w:rStyle w:val="apple-converted-space"/>
          <w:rFonts w:asciiTheme="minorHAnsi" w:hAnsiTheme="minorHAnsi" w:cstheme="minorHAnsi"/>
          <w:i/>
          <w:iCs/>
          <w:color w:val="2D3B45"/>
          <w:sz w:val="21"/>
          <w:szCs w:val="21"/>
        </w:rPr>
        <w:t>;</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[6.120])</w:t>
      </w:r>
    </w:p>
    <w:p w14:paraId="6C89F25C" w14:textId="4E43ACAA"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 v Dann</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(2000) 123 A Crim R 506;</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[6.130])</w:t>
      </w:r>
    </w:p>
    <w:p w14:paraId="0323A697" w14:textId="215A4B24"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proofErr w:type="spellStart"/>
      <w:r w:rsidRPr="00EE4C46">
        <w:rPr>
          <w:rStyle w:val="Emphasis"/>
          <w:rFonts w:asciiTheme="minorHAnsi" w:hAnsiTheme="minorHAnsi" w:cstheme="minorHAnsi"/>
          <w:color w:val="2D3B45"/>
          <w:sz w:val="21"/>
          <w:szCs w:val="21"/>
        </w:rPr>
        <w:t>Aytugrul</w:t>
      </w:r>
      <w:proofErr w:type="spellEnd"/>
      <w:r w:rsidRPr="00EE4C46">
        <w:rPr>
          <w:rStyle w:val="Emphasis"/>
          <w:rFonts w:asciiTheme="minorHAnsi" w:hAnsiTheme="minorHAnsi" w:cstheme="minorHAnsi"/>
          <w:color w:val="2D3B45"/>
          <w:sz w:val="21"/>
          <w:szCs w:val="21"/>
        </w:rPr>
        <w:t xml:space="preserve"> 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(2012) 247 CLR 170;</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[6.140])</w:t>
      </w:r>
    </w:p>
    <w:p w14:paraId="09BAA961"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59009C65"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7.4       General power to limit use</w:t>
      </w:r>
    </w:p>
    <w:p w14:paraId="077CBB55"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 136</w:t>
      </w:r>
    </w:p>
    <w:p w14:paraId="572B5E9B"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 </w:t>
      </w:r>
    </w:p>
    <w:p w14:paraId="35D93906"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Style w:val="Strong"/>
          <w:rFonts w:asciiTheme="minorHAnsi" w:hAnsiTheme="minorHAnsi" w:cstheme="minorHAnsi"/>
          <w:color w:val="2D3B45"/>
          <w:sz w:val="21"/>
          <w:szCs w:val="21"/>
        </w:rPr>
        <w:t>7.5       Improperly obtained evidence</w:t>
      </w:r>
    </w:p>
    <w:p w14:paraId="696D776A" w14:textId="77777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color w:val="2D3B45"/>
          <w:sz w:val="21"/>
          <w:szCs w:val="21"/>
        </w:rPr>
        <w:t>EA ss 138, 139</w:t>
      </w:r>
    </w:p>
    <w:p w14:paraId="278B0E5A" w14:textId="6EEA6FDC"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Robinson v Woolworths</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(2005) 64 NSWLR 612; 227 ALR 353;</w:t>
      </w:r>
      <w:r w:rsidRPr="00EE4C46">
        <w:rPr>
          <w:rStyle w:val="apple-converted-space"/>
          <w:rFonts w:asciiTheme="minorHAnsi" w:hAnsiTheme="minorHAnsi" w:cstheme="minorHAnsi"/>
          <w:color w:val="2D3B45"/>
          <w:sz w:val="21"/>
          <w:szCs w:val="21"/>
        </w:rPr>
        <w:t> </w:t>
      </w:r>
      <w:r w:rsidRPr="00EE4C46">
        <w:rPr>
          <w:rFonts w:asciiTheme="minorHAnsi" w:hAnsiTheme="minorHAnsi" w:cstheme="minorHAnsi"/>
          <w:color w:val="2D3B45"/>
          <w:sz w:val="21"/>
          <w:szCs w:val="21"/>
        </w:rPr>
        <w:t>(KOP [6.170])</w:t>
      </w:r>
    </w:p>
    <w:p w14:paraId="1CB25B4E" w14:textId="1745982E" w:rsidR="00EE4C46" w:rsidRPr="00EE4C46" w:rsidRDefault="00EE4C46" w:rsidP="00EE4C46">
      <w:pPr>
        <w:pStyle w:val="NormalWeb"/>
        <w:spacing w:before="0" w:beforeAutospacing="0" w:after="0" w:afterAutospacing="0"/>
        <w:rPr>
          <w:rFonts w:asciiTheme="minorHAnsi" w:hAnsiTheme="minorHAnsi" w:cstheme="minorHAnsi"/>
          <w:color w:val="2D3B45"/>
          <w:sz w:val="21"/>
          <w:szCs w:val="21"/>
        </w:rPr>
      </w:pPr>
      <w:r w:rsidRPr="00EE4C46">
        <w:rPr>
          <w:rStyle w:val="Emphasis"/>
          <w:rFonts w:asciiTheme="minorHAnsi" w:hAnsiTheme="minorHAnsi" w:cstheme="minorHAnsi"/>
          <w:color w:val="2D3B45"/>
          <w:sz w:val="21"/>
          <w:szCs w:val="21"/>
        </w:rPr>
        <w:t xml:space="preserve">DPP v </w:t>
      </w:r>
      <w:proofErr w:type="spellStart"/>
      <w:r w:rsidRPr="00EE4C46">
        <w:rPr>
          <w:rStyle w:val="Emphasis"/>
          <w:rFonts w:asciiTheme="minorHAnsi" w:hAnsiTheme="minorHAnsi" w:cstheme="minorHAnsi"/>
          <w:color w:val="2D3B45"/>
          <w:sz w:val="21"/>
          <w:szCs w:val="21"/>
        </w:rPr>
        <w:t>Marijancevic</w:t>
      </w:r>
      <w:proofErr w:type="spellEnd"/>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(2011) 33 VR 440; 219 A Crim R 344;</w:t>
      </w:r>
      <w:r w:rsidRPr="00EE4C46">
        <w:rPr>
          <w:rFonts w:asciiTheme="minorHAnsi" w:hAnsiTheme="minorHAnsi" w:cstheme="minorHAnsi"/>
          <w:color w:val="2D3B45"/>
          <w:sz w:val="21"/>
          <w:szCs w:val="21"/>
        </w:rPr>
        <w:t xml:space="preserve"> </w:t>
      </w:r>
      <w:r w:rsidRPr="00EE4C46">
        <w:rPr>
          <w:rFonts w:asciiTheme="minorHAnsi" w:hAnsiTheme="minorHAnsi" w:cstheme="minorHAnsi"/>
          <w:color w:val="2D3B45"/>
          <w:sz w:val="21"/>
          <w:szCs w:val="21"/>
        </w:rPr>
        <w:t>(KOP [6.180])</w:t>
      </w:r>
    </w:p>
    <w:p w14:paraId="01657331" w14:textId="06395777" w:rsidR="00EE4C46" w:rsidRPr="00EE4C46" w:rsidRDefault="00EE4C46" w:rsidP="00EE4C46">
      <w:pPr>
        <w:pStyle w:val="NormalWeb"/>
        <w:spacing w:before="180" w:beforeAutospacing="0" w:after="180" w:afterAutospacing="0"/>
        <w:rPr>
          <w:rFonts w:asciiTheme="minorHAnsi" w:hAnsiTheme="minorHAnsi" w:cstheme="minorHAnsi"/>
          <w:color w:val="2D3B45"/>
          <w:sz w:val="21"/>
          <w:szCs w:val="21"/>
        </w:rPr>
      </w:pPr>
      <w:r w:rsidRPr="00EE4C46">
        <w:rPr>
          <w:rFonts w:asciiTheme="minorHAnsi" w:hAnsiTheme="minorHAnsi" w:cstheme="minorHAnsi"/>
          <w:i/>
          <w:iCs/>
          <w:color w:val="2D3B45"/>
          <w:sz w:val="21"/>
          <w:szCs w:val="21"/>
        </w:rPr>
        <w:t> Kadir v The Queen;</w:t>
      </w:r>
      <w:r w:rsidRPr="00EE4C46">
        <w:rPr>
          <w:rStyle w:val="apple-converted-space"/>
          <w:rFonts w:asciiTheme="minorHAnsi" w:hAnsiTheme="minorHAnsi" w:cstheme="minorHAnsi"/>
          <w:i/>
          <w:iCs/>
          <w:color w:val="2D3B45"/>
          <w:sz w:val="21"/>
          <w:szCs w:val="21"/>
        </w:rPr>
        <w:t> </w:t>
      </w:r>
      <w:proofErr w:type="spellStart"/>
      <w:r w:rsidRPr="00EE4C46">
        <w:rPr>
          <w:rFonts w:asciiTheme="minorHAnsi" w:hAnsiTheme="minorHAnsi" w:cstheme="minorHAnsi"/>
          <w:i/>
          <w:iCs/>
          <w:color w:val="2D3B45"/>
          <w:sz w:val="21"/>
          <w:szCs w:val="21"/>
        </w:rPr>
        <w:t>Grech</w:t>
      </w:r>
      <w:proofErr w:type="spellEnd"/>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i/>
          <w:iCs/>
          <w:color w:val="2D3B45"/>
          <w:sz w:val="21"/>
          <w:szCs w:val="21"/>
        </w:rPr>
        <w:t>v The Queen</w:t>
      </w:r>
      <w:r w:rsidRPr="00EE4C46">
        <w:rPr>
          <w:rStyle w:val="apple-converted-space"/>
          <w:rFonts w:asciiTheme="minorHAnsi" w:hAnsiTheme="minorHAnsi" w:cstheme="minorHAnsi"/>
          <w:i/>
          <w:iCs/>
          <w:color w:val="2D3B45"/>
          <w:sz w:val="21"/>
          <w:szCs w:val="21"/>
        </w:rPr>
        <w:t> </w:t>
      </w:r>
      <w:r w:rsidRPr="00EE4C46">
        <w:rPr>
          <w:rFonts w:asciiTheme="minorHAnsi" w:hAnsiTheme="minorHAnsi" w:cstheme="minorHAnsi"/>
          <w:color w:val="2D3B45"/>
          <w:sz w:val="21"/>
          <w:szCs w:val="21"/>
        </w:rPr>
        <w:t>[2020] HCA 1</w:t>
      </w:r>
    </w:p>
    <w:p w14:paraId="2C00C697" w14:textId="77777777" w:rsidR="00EE4C46" w:rsidRDefault="00EE4C46" w:rsidP="00EE4C46">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380E7E5A" w14:textId="77777777" w:rsidR="00EE4C46" w:rsidRDefault="00EE4C46" w:rsidP="00131463">
      <w:pPr>
        <w:pStyle w:val="NormalWeb"/>
        <w:spacing w:before="0" w:beforeAutospacing="0" w:after="0" w:afterAutospacing="0"/>
        <w:rPr>
          <w:rFonts w:ascii="Helvetica Neue" w:hAnsi="Helvetica Neue"/>
          <w:color w:val="2D3B45"/>
        </w:rPr>
      </w:pPr>
    </w:p>
    <w:p w14:paraId="3FFD6D82" w14:textId="785EFC86" w:rsidR="00131463" w:rsidRDefault="00131463" w:rsidP="00131463">
      <w:pPr>
        <w:pStyle w:val="NormalWeb"/>
        <w:spacing w:before="180" w:beforeAutospacing="0" w:after="180" w:afterAutospacing="0"/>
        <w:rPr>
          <w:rFonts w:ascii="Helvetica Neue" w:hAnsi="Helvetica Neue"/>
          <w:color w:val="2D3B45"/>
        </w:rPr>
      </w:pPr>
    </w:p>
    <w:p w14:paraId="6F0A9AE3" w14:textId="77777777" w:rsidR="00131463" w:rsidRDefault="00131463" w:rsidP="00131463">
      <w:pPr>
        <w:pStyle w:val="NormalWeb"/>
        <w:spacing w:before="180" w:beforeAutospacing="0" w:after="180" w:afterAutospacing="0"/>
        <w:rPr>
          <w:rFonts w:ascii="Helvetica Neue" w:hAnsi="Helvetica Neue"/>
          <w:color w:val="2D3B45"/>
        </w:rPr>
      </w:pPr>
    </w:p>
    <w:p w14:paraId="24A0DE09" w14:textId="77777777" w:rsidR="00131463" w:rsidRDefault="00131463"/>
    <w:sectPr w:rsidR="00131463" w:rsidSect="00B775E8">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A5C6" w14:textId="77777777" w:rsidR="00B775E8" w:rsidRDefault="00EE4C4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p w14:paraId="3D3C8B13" w14:textId="77777777" w:rsidR="00B775E8" w:rsidRDefault="00EE4C4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D71F7"/>
    <w:multiLevelType w:val="hybridMultilevel"/>
    <w:tmpl w:val="E09C5058"/>
    <w:lvl w:ilvl="0" w:tplc="0C2C4066">
      <w:start w:val="2"/>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D90B58"/>
    <w:multiLevelType w:val="hybridMultilevel"/>
    <w:tmpl w:val="BD1E9FE2"/>
    <w:lvl w:ilvl="0" w:tplc="183628C6">
      <w:start w:val="1"/>
      <w:numFmt w:val="lowerLetter"/>
      <w:lvlText w:val="(%1)"/>
      <w:lvlJc w:val="left"/>
      <w:pPr>
        <w:ind w:left="687" w:hanging="567"/>
      </w:pPr>
      <w:rPr>
        <w:rFonts w:ascii="Arial" w:eastAsia="Arial" w:hAnsi="Arial" w:cs="Arial" w:hint="default"/>
        <w:spacing w:val="-1"/>
        <w:w w:val="100"/>
        <w:sz w:val="22"/>
        <w:szCs w:val="22"/>
        <w:lang w:val="en-AU" w:eastAsia="en-AU" w:bidi="en-AU"/>
      </w:rPr>
    </w:lvl>
    <w:lvl w:ilvl="1" w:tplc="958A75DC">
      <w:numFmt w:val="bullet"/>
      <w:lvlText w:val="•"/>
      <w:lvlJc w:val="left"/>
      <w:pPr>
        <w:ind w:left="1538" w:hanging="567"/>
      </w:pPr>
      <w:rPr>
        <w:rFonts w:hint="default"/>
        <w:lang w:val="en-AU" w:eastAsia="en-AU" w:bidi="en-AU"/>
      </w:rPr>
    </w:lvl>
    <w:lvl w:ilvl="2" w:tplc="D640D0EC">
      <w:numFmt w:val="bullet"/>
      <w:lvlText w:val="•"/>
      <w:lvlJc w:val="left"/>
      <w:pPr>
        <w:ind w:left="2397" w:hanging="567"/>
      </w:pPr>
      <w:rPr>
        <w:rFonts w:hint="default"/>
        <w:lang w:val="en-AU" w:eastAsia="en-AU" w:bidi="en-AU"/>
      </w:rPr>
    </w:lvl>
    <w:lvl w:ilvl="3" w:tplc="7654DC00">
      <w:numFmt w:val="bullet"/>
      <w:lvlText w:val="•"/>
      <w:lvlJc w:val="left"/>
      <w:pPr>
        <w:ind w:left="3255" w:hanging="567"/>
      </w:pPr>
      <w:rPr>
        <w:rFonts w:hint="default"/>
        <w:lang w:val="en-AU" w:eastAsia="en-AU" w:bidi="en-AU"/>
      </w:rPr>
    </w:lvl>
    <w:lvl w:ilvl="4" w:tplc="A5D8E60E">
      <w:numFmt w:val="bullet"/>
      <w:lvlText w:val="•"/>
      <w:lvlJc w:val="left"/>
      <w:pPr>
        <w:ind w:left="4114" w:hanging="567"/>
      </w:pPr>
      <w:rPr>
        <w:rFonts w:hint="default"/>
        <w:lang w:val="en-AU" w:eastAsia="en-AU" w:bidi="en-AU"/>
      </w:rPr>
    </w:lvl>
    <w:lvl w:ilvl="5" w:tplc="622EF466">
      <w:numFmt w:val="bullet"/>
      <w:lvlText w:val="•"/>
      <w:lvlJc w:val="left"/>
      <w:pPr>
        <w:ind w:left="4973" w:hanging="567"/>
      </w:pPr>
      <w:rPr>
        <w:rFonts w:hint="default"/>
        <w:lang w:val="en-AU" w:eastAsia="en-AU" w:bidi="en-AU"/>
      </w:rPr>
    </w:lvl>
    <w:lvl w:ilvl="6" w:tplc="918E8AD8">
      <w:numFmt w:val="bullet"/>
      <w:lvlText w:val="•"/>
      <w:lvlJc w:val="left"/>
      <w:pPr>
        <w:ind w:left="5831" w:hanging="567"/>
      </w:pPr>
      <w:rPr>
        <w:rFonts w:hint="default"/>
        <w:lang w:val="en-AU" w:eastAsia="en-AU" w:bidi="en-AU"/>
      </w:rPr>
    </w:lvl>
    <w:lvl w:ilvl="7" w:tplc="0602EC50">
      <w:numFmt w:val="bullet"/>
      <w:lvlText w:val="•"/>
      <w:lvlJc w:val="left"/>
      <w:pPr>
        <w:ind w:left="6690" w:hanging="567"/>
      </w:pPr>
      <w:rPr>
        <w:rFonts w:hint="default"/>
        <w:lang w:val="en-AU" w:eastAsia="en-AU" w:bidi="en-AU"/>
      </w:rPr>
    </w:lvl>
    <w:lvl w:ilvl="8" w:tplc="60A62306">
      <w:numFmt w:val="bullet"/>
      <w:lvlText w:val="•"/>
      <w:lvlJc w:val="left"/>
      <w:pPr>
        <w:ind w:left="7549" w:hanging="567"/>
      </w:pPr>
      <w:rPr>
        <w:rFonts w:hint="default"/>
        <w:lang w:val="en-AU" w:eastAsia="en-AU" w:bidi="en-AU"/>
      </w:rPr>
    </w:lvl>
  </w:abstractNum>
  <w:abstractNum w:abstractNumId="2" w15:restartNumberingAfterBreak="0">
    <w:nsid w:val="7F2E65D8"/>
    <w:multiLevelType w:val="hybridMultilevel"/>
    <w:tmpl w:val="F41EB908"/>
    <w:lvl w:ilvl="0" w:tplc="380A46F0">
      <w:start w:val="1"/>
      <w:numFmt w:val="decimal"/>
      <w:lvlText w:val="(%1)"/>
      <w:lvlJc w:val="left"/>
      <w:pPr>
        <w:ind w:left="1580" w:hanging="12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4"/>
    <w:rsid w:val="00131463"/>
    <w:rsid w:val="009A1466"/>
    <w:rsid w:val="00AB3774"/>
    <w:rsid w:val="00AF0FC8"/>
    <w:rsid w:val="00BC4E70"/>
    <w:rsid w:val="00EE4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083B63"/>
  <w15:chartTrackingRefBased/>
  <w15:docId w15:val="{062EF188-E55E-8C4B-9A53-648B8820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74"/>
    <w:rPr>
      <w:rFonts w:ascii="Times New Roman" w:eastAsia="Times New Roman" w:hAnsi="Times New Roman" w:cs="Times New Roman"/>
      <w:lang w:val="en-US"/>
    </w:rPr>
  </w:style>
  <w:style w:type="paragraph" w:styleId="Heading3">
    <w:name w:val="heading 3"/>
    <w:basedOn w:val="Normal"/>
    <w:link w:val="Heading3Char"/>
    <w:uiPriority w:val="9"/>
    <w:qFormat/>
    <w:rsid w:val="00131463"/>
    <w:pPr>
      <w:spacing w:before="100" w:beforeAutospacing="1" w:after="100" w:afterAutospacing="1"/>
      <w:outlineLvl w:val="2"/>
    </w:pPr>
    <w:rPr>
      <w:b/>
      <w:bCs/>
      <w:sz w:val="27"/>
      <w:szCs w:val="27"/>
      <w:lang w:val="en-AU" w:eastAsia="en-GB"/>
    </w:rPr>
  </w:style>
  <w:style w:type="paragraph" w:styleId="Heading4">
    <w:name w:val="heading 4"/>
    <w:basedOn w:val="Normal"/>
    <w:next w:val="Normal"/>
    <w:link w:val="Heading4Char"/>
    <w:uiPriority w:val="9"/>
    <w:semiHidden/>
    <w:unhideWhenUsed/>
    <w:qFormat/>
    <w:rsid w:val="00EE4C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3774"/>
    <w:pPr>
      <w:spacing w:after="200" w:line="276" w:lineRule="auto"/>
      <w:ind w:left="720"/>
    </w:pPr>
    <w:rPr>
      <w:rFonts w:ascii="Calibri" w:hAnsi="Calibri"/>
      <w:sz w:val="22"/>
      <w:szCs w:val="22"/>
      <w:lang w:val="en-AU"/>
    </w:rPr>
  </w:style>
  <w:style w:type="paragraph" w:styleId="Footer">
    <w:name w:val="footer"/>
    <w:basedOn w:val="Normal"/>
    <w:link w:val="FooterChar"/>
    <w:uiPriority w:val="99"/>
    <w:rsid w:val="00AB3774"/>
    <w:pPr>
      <w:tabs>
        <w:tab w:val="center" w:pos="4513"/>
        <w:tab w:val="right" w:pos="9026"/>
      </w:tabs>
    </w:pPr>
  </w:style>
  <w:style w:type="character" w:customStyle="1" w:styleId="FooterChar">
    <w:name w:val="Footer Char"/>
    <w:basedOn w:val="DefaultParagraphFont"/>
    <w:link w:val="Footer"/>
    <w:uiPriority w:val="99"/>
    <w:rsid w:val="00AB3774"/>
    <w:rPr>
      <w:rFonts w:ascii="Times New Roman" w:eastAsia="Times New Roman" w:hAnsi="Times New Roman" w:cs="Times New Roman"/>
      <w:lang w:val="en-US"/>
    </w:rPr>
  </w:style>
  <w:style w:type="paragraph" w:styleId="BodyText">
    <w:name w:val="Body Text"/>
    <w:basedOn w:val="Normal"/>
    <w:link w:val="BodyTextChar"/>
    <w:rsid w:val="00AB3774"/>
    <w:pPr>
      <w:spacing w:after="120"/>
    </w:pPr>
  </w:style>
  <w:style w:type="character" w:customStyle="1" w:styleId="BodyTextChar">
    <w:name w:val="Body Text Char"/>
    <w:basedOn w:val="DefaultParagraphFont"/>
    <w:link w:val="BodyText"/>
    <w:rsid w:val="00AB3774"/>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13146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31463"/>
    <w:rPr>
      <w:b/>
      <w:bCs/>
    </w:rPr>
  </w:style>
  <w:style w:type="paragraph" w:styleId="NormalWeb">
    <w:name w:val="Normal (Web)"/>
    <w:basedOn w:val="Normal"/>
    <w:uiPriority w:val="99"/>
    <w:semiHidden/>
    <w:unhideWhenUsed/>
    <w:rsid w:val="00131463"/>
    <w:pPr>
      <w:spacing w:before="100" w:beforeAutospacing="1" w:after="100" w:afterAutospacing="1"/>
    </w:pPr>
    <w:rPr>
      <w:lang w:val="en-AU" w:eastAsia="en-GB"/>
    </w:rPr>
  </w:style>
  <w:style w:type="character" w:customStyle="1" w:styleId="apple-converted-space">
    <w:name w:val="apple-converted-space"/>
    <w:basedOn w:val="DefaultParagraphFont"/>
    <w:rsid w:val="00131463"/>
  </w:style>
  <w:style w:type="character" w:styleId="Hyperlink">
    <w:name w:val="Hyperlink"/>
    <w:basedOn w:val="DefaultParagraphFont"/>
    <w:uiPriority w:val="99"/>
    <w:semiHidden/>
    <w:unhideWhenUsed/>
    <w:rsid w:val="00131463"/>
    <w:rPr>
      <w:color w:val="0000FF"/>
      <w:u w:val="single"/>
    </w:rPr>
  </w:style>
  <w:style w:type="character" w:customStyle="1" w:styleId="screenreader-only">
    <w:name w:val="screenreader-only"/>
    <w:basedOn w:val="DefaultParagraphFont"/>
    <w:rsid w:val="00131463"/>
  </w:style>
  <w:style w:type="character" w:styleId="Emphasis">
    <w:name w:val="Emphasis"/>
    <w:basedOn w:val="DefaultParagraphFont"/>
    <w:uiPriority w:val="20"/>
    <w:qFormat/>
    <w:rsid w:val="00131463"/>
    <w:rPr>
      <w:i/>
      <w:iCs/>
    </w:rPr>
  </w:style>
  <w:style w:type="character" w:customStyle="1" w:styleId="attachmentlinks">
    <w:name w:val="attachmentlinks"/>
    <w:basedOn w:val="DefaultParagraphFont"/>
    <w:rsid w:val="00131463"/>
  </w:style>
  <w:style w:type="character" w:styleId="FollowedHyperlink">
    <w:name w:val="FollowedHyperlink"/>
    <w:basedOn w:val="DefaultParagraphFont"/>
    <w:uiPriority w:val="99"/>
    <w:semiHidden/>
    <w:unhideWhenUsed/>
    <w:rsid w:val="00131463"/>
    <w:rPr>
      <w:color w:val="954F72" w:themeColor="followedHyperlink"/>
      <w:u w:val="single"/>
    </w:rPr>
  </w:style>
  <w:style w:type="character" w:customStyle="1" w:styleId="Heading4Char">
    <w:name w:val="Heading 4 Char"/>
    <w:basedOn w:val="DefaultParagraphFont"/>
    <w:link w:val="Heading4"/>
    <w:uiPriority w:val="9"/>
    <w:semiHidden/>
    <w:rsid w:val="00EE4C46"/>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687362">
      <w:bodyDiv w:val="1"/>
      <w:marLeft w:val="0"/>
      <w:marRight w:val="0"/>
      <w:marTop w:val="0"/>
      <w:marBottom w:val="0"/>
      <w:divBdr>
        <w:top w:val="none" w:sz="0" w:space="0" w:color="auto"/>
        <w:left w:val="none" w:sz="0" w:space="0" w:color="auto"/>
        <w:bottom w:val="none" w:sz="0" w:space="0" w:color="auto"/>
        <w:right w:val="none" w:sz="0" w:space="0" w:color="auto"/>
      </w:divBdr>
    </w:div>
    <w:div w:id="810248719">
      <w:bodyDiv w:val="1"/>
      <w:marLeft w:val="0"/>
      <w:marRight w:val="0"/>
      <w:marTop w:val="0"/>
      <w:marBottom w:val="0"/>
      <w:divBdr>
        <w:top w:val="none" w:sz="0" w:space="0" w:color="auto"/>
        <w:left w:val="none" w:sz="0" w:space="0" w:color="auto"/>
        <w:bottom w:val="none" w:sz="0" w:space="0" w:color="auto"/>
        <w:right w:val="none" w:sz="0" w:space="0" w:color="auto"/>
      </w:divBdr>
    </w:div>
    <w:div w:id="1386561786">
      <w:bodyDiv w:val="1"/>
      <w:marLeft w:val="0"/>
      <w:marRight w:val="0"/>
      <w:marTop w:val="0"/>
      <w:marBottom w:val="0"/>
      <w:divBdr>
        <w:top w:val="none" w:sz="0" w:space="0" w:color="auto"/>
        <w:left w:val="none" w:sz="0" w:space="0" w:color="auto"/>
        <w:bottom w:val="none" w:sz="0" w:space="0" w:color="auto"/>
        <w:right w:val="none" w:sz="0" w:space="0" w:color="auto"/>
      </w:divBdr>
    </w:div>
    <w:div w:id="1741171532">
      <w:bodyDiv w:val="1"/>
      <w:marLeft w:val="0"/>
      <w:marRight w:val="0"/>
      <w:marTop w:val="0"/>
      <w:marBottom w:val="0"/>
      <w:divBdr>
        <w:top w:val="none" w:sz="0" w:space="0" w:color="auto"/>
        <w:left w:val="none" w:sz="0" w:space="0" w:color="auto"/>
        <w:bottom w:val="none" w:sz="0" w:space="0" w:color="auto"/>
        <w:right w:val="none" w:sz="0" w:space="0" w:color="auto"/>
      </w:divBdr>
    </w:div>
    <w:div w:id="19978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2020-06-09T05:30:00Z</dcterms:created>
  <dcterms:modified xsi:type="dcterms:W3CDTF">2020-06-09T05:54:00Z</dcterms:modified>
</cp:coreProperties>
</file>