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72309" w14:textId="77777777" w:rsidR="000408DC" w:rsidRDefault="00757C39" w:rsidP="00757C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0702">
        <w:rPr>
          <w:rFonts w:ascii="Times New Roman" w:hAnsi="Times New Roman" w:cs="Times New Roman"/>
          <w:sz w:val="24"/>
          <w:szCs w:val="24"/>
        </w:rPr>
        <w:t xml:space="preserve">ECON 2313 </w:t>
      </w:r>
    </w:p>
    <w:p w14:paraId="613815A4" w14:textId="77777777" w:rsidR="00757C39" w:rsidRPr="00370702" w:rsidRDefault="000408DC" w:rsidP="00757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="00757C39" w:rsidRPr="00370702">
        <w:rPr>
          <w:rFonts w:ascii="Times New Roman" w:hAnsi="Times New Roman" w:cs="Times New Roman"/>
          <w:sz w:val="24"/>
          <w:szCs w:val="24"/>
        </w:rPr>
        <w:t>Project</w:t>
      </w:r>
    </w:p>
    <w:p w14:paraId="3FA31AB5" w14:textId="77777777" w:rsidR="000408DC" w:rsidRDefault="000408DC" w:rsidP="00163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addition to the learning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outcomes </w:t>
      </w:r>
      <w:r w:rsidRPr="00B21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course, ASUN expects students to be able to express ideas, knowledge, and concepts in a clear and concise manner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collegiate level </w:t>
      </w:r>
      <w:r w:rsidRPr="00B21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to be able to apply reasoning skills as demonstrated by problem-solving and utilization of applied knowledge. </w:t>
      </w:r>
    </w:p>
    <w:p w14:paraId="6F445B55" w14:textId="379C1647" w:rsidR="00B25CAF" w:rsidRDefault="009D7E82" w:rsidP="00163E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5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omplete a </w:t>
      </w:r>
      <w:r w:rsidR="00CA4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</w:t>
      </w:r>
      <w:r w:rsidR="00757C39" w:rsidRPr="0049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project </w:t>
      </w:r>
      <w:r w:rsidR="0075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demonstrates your understanding of the </w:t>
      </w:r>
      <w:r w:rsidR="00CA4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micro economic </w:t>
      </w:r>
      <w:r w:rsidR="0075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functioning of the U. S. economy. </w:t>
      </w:r>
      <w:r w:rsidR="00CA4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</w:t>
      </w:r>
      <w:r w:rsidR="00CA4B5E">
        <w:rPr>
          <w:rFonts w:ascii="Times New Roman" w:hAnsi="Times New Roman" w:cs="Times New Roman"/>
          <w:sz w:val="24"/>
          <w:szCs w:val="24"/>
        </w:rPr>
        <w:t xml:space="preserve">your research </w:t>
      </w:r>
      <w:r w:rsidR="004720B4">
        <w:rPr>
          <w:rFonts w:ascii="Times New Roman" w:hAnsi="Times New Roman" w:cs="Times New Roman"/>
          <w:sz w:val="24"/>
          <w:szCs w:val="24"/>
        </w:rPr>
        <w:t>in a</w:t>
      </w:r>
      <w:r w:rsidR="00B25CAF">
        <w:rPr>
          <w:rFonts w:ascii="Times New Roman" w:hAnsi="Times New Roman" w:cs="Times New Roman"/>
          <w:sz w:val="24"/>
          <w:szCs w:val="24"/>
        </w:rPr>
        <w:t xml:space="preserve"> report formatted in </w:t>
      </w:r>
      <w:r w:rsidR="004720B4">
        <w:rPr>
          <w:rFonts w:ascii="Times New Roman" w:hAnsi="Times New Roman" w:cs="Times New Roman"/>
          <w:sz w:val="24"/>
          <w:szCs w:val="24"/>
        </w:rPr>
        <w:t xml:space="preserve">APA style, and </w:t>
      </w:r>
      <w:r w:rsidR="00DF7836">
        <w:rPr>
          <w:rFonts w:ascii="Times New Roman" w:hAnsi="Times New Roman" w:cs="Times New Roman"/>
          <w:sz w:val="24"/>
          <w:szCs w:val="24"/>
        </w:rPr>
        <w:t>a</w:t>
      </w:r>
      <w:r w:rsidR="004720B4">
        <w:rPr>
          <w:rFonts w:ascii="Times New Roman" w:hAnsi="Times New Roman" w:cs="Times New Roman"/>
          <w:sz w:val="24"/>
          <w:szCs w:val="24"/>
        </w:rPr>
        <w:t xml:space="preserve"> minimum of 3 references sited</w:t>
      </w:r>
    </w:p>
    <w:p w14:paraId="7AB47D04" w14:textId="77777777" w:rsidR="00757C39" w:rsidRPr="00493C7B" w:rsidRDefault="00757C39" w:rsidP="00163E4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elements of your presentation are as follows:</w:t>
      </w:r>
    </w:p>
    <w:p w14:paraId="792CF970" w14:textId="77777777" w:rsidR="00757C39" w:rsidRPr="00493C7B" w:rsidRDefault="00757C39" w:rsidP="00163E4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A4CA4D" w14:textId="77777777" w:rsidR="008229B0" w:rsidRPr="00493C7B" w:rsidRDefault="008229B0" w:rsidP="004720B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F1DFD0" w14:textId="2315CE23" w:rsidR="00757C39" w:rsidRPr="005C5F06" w:rsidRDefault="005C5F06" w:rsidP="00163E4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 and read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reliable </w:t>
      </w:r>
      <w:r w:rsidRPr="005C5F06">
        <w:rPr>
          <w:rFonts w:ascii="Times New Roman" w:hAnsi="Times New Roman" w:cs="Times New Roman"/>
          <w:color w:val="000000" w:themeColor="text1"/>
          <w:sz w:val="24"/>
          <w:szCs w:val="24"/>
        </w:rPr>
        <w:t>economic journals</w:t>
      </w:r>
      <w:r w:rsidR="001A100A" w:rsidRPr="005C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papers </w:t>
      </w:r>
      <w:r w:rsidRPr="005C5F06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r w:rsidR="001A100A" w:rsidRPr="005C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two events and the impact of institutions, public policies, and regulations during these timeframes. </w:t>
      </w:r>
      <w:r w:rsidR="00472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(One event can </w:t>
      </w:r>
      <w:r w:rsidR="008229B0" w:rsidRPr="005C5F06">
        <w:rPr>
          <w:rFonts w:ascii="Times New Roman" w:hAnsi="Times New Roman" w:cs="Times New Roman"/>
          <w:color w:val="000000" w:themeColor="text1"/>
          <w:sz w:val="24"/>
          <w:szCs w:val="24"/>
        </w:rPr>
        <w:t>be the 2007-2008 U.S. Recession and the other can be your choice)</w:t>
      </w:r>
      <w:r w:rsidR="00397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(you can use two different president terms.)</w:t>
      </w:r>
    </w:p>
    <w:p w14:paraId="52240182" w14:textId="70172D80" w:rsidR="001A100A" w:rsidRDefault="001A100A" w:rsidP="00163E41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Comparison of Events: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was the extent of economic decline in each of the two events? Discuss in terms of GDP, unemployment, and other major economic variables.</w:t>
      </w:r>
      <w:r w:rsidR="00472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(Graphs are good)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5AB4FD" w14:textId="77777777" w:rsidR="001A100A" w:rsidRDefault="001A100A" w:rsidP="00163E41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Government Reactions: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9B0">
        <w:rPr>
          <w:rFonts w:ascii="Times New Roman" w:hAnsi="Times New Roman" w:cs="Times New Roman"/>
          <w:color w:val="000000" w:themeColor="text1"/>
          <w:sz w:val="24"/>
          <w:szCs w:val="24"/>
        </w:rPr>
        <w:t>Compare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changes in the gove</w:t>
      </w:r>
      <w:r w:rsidR="0082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rnment reactions to the initial shocks to the economy and the initial adjustments to the regulation of business and financial institutions. </w:t>
      </w:r>
    </w:p>
    <w:p w14:paraId="14DE22CF" w14:textId="2238DFEE" w:rsidR="008229B0" w:rsidRDefault="008229B0" w:rsidP="00163E41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Effects on Business Decision Making: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Compare the effects of the shocks on the economy to business decision making in the public sphere during the relevant time periods. </w:t>
      </w:r>
      <w:r w:rsidR="004720B4">
        <w:rPr>
          <w:rFonts w:ascii="Times New Roman" w:hAnsi="Times New Roman" w:cs="Times New Roman"/>
          <w:color w:val="000000" w:themeColor="text1"/>
          <w:sz w:val="24"/>
          <w:szCs w:val="24"/>
        </w:rPr>
        <w:t>(Graphs are good) What did the economy look like?</w:t>
      </w:r>
    </w:p>
    <w:p w14:paraId="7AF3673A" w14:textId="77777777" w:rsidR="004720B4" w:rsidRPr="00493C7B" w:rsidRDefault="004720B4" w:rsidP="004720B4">
      <w:pPr>
        <w:spacing w:after="0" w:line="240" w:lineRule="auto"/>
        <w:ind w:left="14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EA0AF6" w14:textId="77777777" w:rsidR="00757C39" w:rsidRDefault="008229B0" w:rsidP="00163E4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Analyze the influences of changing economic conditions on economic thinking historically and today.</w:t>
      </w:r>
    </w:p>
    <w:p w14:paraId="35B335D7" w14:textId="73E77861" w:rsidR="008229B0" w:rsidRPr="005C5F06" w:rsidRDefault="005C5F06" w:rsidP="00163E41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Discuss some of the Strategic behavior</w:t>
      </w:r>
      <w:r w:rsidR="00DF783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companies during </w:t>
      </w:r>
      <w:r w:rsidR="008229B0" w:rsidRPr="005C5F06">
        <w:rPr>
          <w:rFonts w:ascii="Times New Roman" w:hAnsi="Times New Roman" w:cs="Times New Roman"/>
          <w:color w:val="000000" w:themeColor="text1"/>
          <w:sz w:val="24"/>
          <w:szCs w:val="24"/>
        </w:rPr>
        <w:t>these time periods?</w:t>
      </w:r>
      <w:r w:rsidR="00472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2554F8" w14:textId="77777777" w:rsidR="008229B0" w:rsidRDefault="008229B0" w:rsidP="00163E41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were some of the limitations or successes during these time periods?</w:t>
      </w:r>
    </w:p>
    <w:p w14:paraId="2E397C18" w14:textId="77777777" w:rsidR="008229B0" w:rsidRPr="00493C7B" w:rsidRDefault="008229B0" w:rsidP="00163E4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381304" w14:textId="673E4E87" w:rsidR="004720B4" w:rsidRPr="004720B4" w:rsidRDefault="008229B0" w:rsidP="00163E41">
      <w:pPr>
        <w:numPr>
          <w:ilvl w:val="0"/>
          <w:numId w:val="1"/>
        </w:numPr>
        <w:spacing w:after="0" w:line="240" w:lineRule="auto"/>
        <w:ind w:left="720"/>
        <w:contextualSpacing/>
      </w:pPr>
      <w:r w:rsidRPr="00DF7836">
        <w:rPr>
          <w:rFonts w:ascii="Times New Roman" w:hAnsi="Times New Roman" w:cs="Times New Roman"/>
          <w:color w:val="000000" w:themeColor="text1"/>
          <w:sz w:val="24"/>
          <w:szCs w:val="24"/>
        </w:rPr>
        <w:t>Discuss the role of economic thi</w:t>
      </w:r>
      <w:r w:rsidR="005C5F06" w:rsidRPr="00DF7836">
        <w:rPr>
          <w:rFonts w:ascii="Times New Roman" w:hAnsi="Times New Roman" w:cs="Times New Roman"/>
          <w:color w:val="000000" w:themeColor="text1"/>
          <w:sz w:val="24"/>
          <w:szCs w:val="24"/>
        </w:rPr>
        <w:t>nking in the nature of businesses</w:t>
      </w:r>
      <w:r w:rsidR="00472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14:paraId="5C577538" w14:textId="77777777" w:rsidR="004720B4" w:rsidRPr="004720B4" w:rsidRDefault="004720B4" w:rsidP="004720B4">
      <w:pPr>
        <w:spacing w:after="0" w:line="240" w:lineRule="auto"/>
        <w:ind w:left="720"/>
        <w:contextualSpacing/>
      </w:pPr>
    </w:p>
    <w:p w14:paraId="21375FCE" w14:textId="1F696443" w:rsidR="008229B0" w:rsidRPr="00DF7836" w:rsidRDefault="008229B0" w:rsidP="00163E41">
      <w:pPr>
        <w:numPr>
          <w:ilvl w:val="0"/>
          <w:numId w:val="1"/>
        </w:numPr>
        <w:spacing w:after="0" w:line="240" w:lineRule="auto"/>
        <w:ind w:left="720"/>
        <w:contextualSpacing/>
      </w:pPr>
      <w:r w:rsidRPr="00DF7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Describe </w:t>
      </w:r>
      <w:r w:rsidR="005C5F06" w:rsidRPr="00DF7836">
        <w:rPr>
          <w:rFonts w:ascii="Times New Roman" w:hAnsi="Times New Roman" w:cs="Times New Roman"/>
          <w:color w:val="000000" w:themeColor="text1"/>
          <w:sz w:val="24"/>
          <w:szCs w:val="24"/>
        </w:rPr>
        <w:t>how using economics can help make better policy choices?</w:t>
      </w:r>
      <w:r w:rsidRPr="00DF7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7ABB9E" w14:textId="458EDBB4" w:rsidR="00163E41" w:rsidRDefault="00163E41" w:rsidP="00163E41">
      <w:pPr>
        <w:pStyle w:val="ListParagraph"/>
      </w:pPr>
    </w:p>
    <w:p w14:paraId="148F68D4" w14:textId="5CB537B9" w:rsidR="009D7E82" w:rsidRDefault="009D7E82" w:rsidP="00163E41">
      <w:pPr>
        <w:pStyle w:val="ListParagraph"/>
      </w:pPr>
    </w:p>
    <w:p w14:paraId="2F27A294" w14:textId="1E94D099" w:rsidR="009D7E82" w:rsidRDefault="009D7E82" w:rsidP="00163E41">
      <w:pPr>
        <w:pStyle w:val="ListParagraph"/>
      </w:pPr>
    </w:p>
    <w:p w14:paraId="4E134656" w14:textId="547E3964" w:rsidR="009D7E82" w:rsidRDefault="009D7E82" w:rsidP="00163E41">
      <w:pPr>
        <w:pStyle w:val="ListParagraph"/>
      </w:pPr>
    </w:p>
    <w:p w14:paraId="096C9D9A" w14:textId="26E6E27B" w:rsidR="009D7E82" w:rsidRDefault="009D7E82" w:rsidP="00163E41">
      <w:pPr>
        <w:pStyle w:val="ListParagraph"/>
      </w:pPr>
    </w:p>
    <w:p w14:paraId="028B51BE" w14:textId="35CB9D52" w:rsidR="009D7E82" w:rsidRDefault="009D7E82" w:rsidP="00163E41">
      <w:pPr>
        <w:pStyle w:val="ListParagraph"/>
      </w:pPr>
    </w:p>
    <w:p w14:paraId="5F5F2E94" w14:textId="77777777" w:rsidR="009D7E82" w:rsidRDefault="009D7E82" w:rsidP="00163E41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444"/>
        <w:gridCol w:w="2426"/>
        <w:gridCol w:w="2516"/>
        <w:gridCol w:w="2377"/>
        <w:gridCol w:w="2210"/>
      </w:tblGrid>
      <w:tr w:rsidR="00163E41" w:rsidRPr="00163E41" w14:paraId="13A917C9" w14:textId="70F84E67" w:rsidTr="00890C5A">
        <w:trPr>
          <w:tblHeader/>
        </w:trPr>
        <w:tc>
          <w:tcPr>
            <w:tcW w:w="2417" w:type="dxa"/>
            <w:vAlign w:val="center"/>
          </w:tcPr>
          <w:p w14:paraId="33DFCEE1" w14:textId="0CD78A9C" w:rsidR="00163E41" w:rsidRPr="009D38F7" w:rsidRDefault="00163E41" w:rsidP="00163E4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38F7">
              <w:rPr>
                <w:b/>
                <w:sz w:val="24"/>
                <w:szCs w:val="24"/>
              </w:rPr>
              <w:lastRenderedPageBreak/>
              <w:t>Elements</w:t>
            </w:r>
          </w:p>
        </w:tc>
        <w:tc>
          <w:tcPr>
            <w:tcW w:w="2444" w:type="dxa"/>
            <w:vAlign w:val="center"/>
          </w:tcPr>
          <w:p w14:paraId="2C104B68" w14:textId="24EB6E94" w:rsidR="00163E41" w:rsidRPr="00163E41" w:rsidRDefault="00163E41" w:rsidP="00163E4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63E41">
              <w:rPr>
                <w:b/>
                <w:sz w:val="24"/>
                <w:szCs w:val="24"/>
              </w:rPr>
              <w:t>Exemplary</w:t>
            </w:r>
          </w:p>
        </w:tc>
        <w:tc>
          <w:tcPr>
            <w:tcW w:w="2426" w:type="dxa"/>
            <w:vAlign w:val="center"/>
          </w:tcPr>
          <w:p w14:paraId="08299B11" w14:textId="61B81620" w:rsidR="00163E41" w:rsidRPr="00163E41" w:rsidRDefault="00163E41" w:rsidP="00163E4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63E41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516" w:type="dxa"/>
            <w:vAlign w:val="center"/>
          </w:tcPr>
          <w:p w14:paraId="3F2E9D30" w14:textId="219DC429" w:rsidR="00163E41" w:rsidRPr="00163E41" w:rsidRDefault="00163E41" w:rsidP="00163E4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63E41">
              <w:rPr>
                <w:b/>
                <w:sz w:val="24"/>
                <w:szCs w:val="24"/>
              </w:rPr>
              <w:t>Needs Improvement</w:t>
            </w:r>
          </w:p>
        </w:tc>
        <w:tc>
          <w:tcPr>
            <w:tcW w:w="2377" w:type="dxa"/>
            <w:vAlign w:val="center"/>
          </w:tcPr>
          <w:p w14:paraId="7A51153F" w14:textId="5C966AE8" w:rsidR="00163E41" w:rsidRPr="00163E41" w:rsidRDefault="00163E41" w:rsidP="00163E4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63E41">
              <w:rPr>
                <w:b/>
                <w:sz w:val="24"/>
                <w:szCs w:val="24"/>
              </w:rPr>
              <w:t>Not Evident</w:t>
            </w:r>
          </w:p>
        </w:tc>
        <w:tc>
          <w:tcPr>
            <w:tcW w:w="2210" w:type="dxa"/>
            <w:vAlign w:val="center"/>
          </w:tcPr>
          <w:p w14:paraId="00E4C433" w14:textId="11904031" w:rsidR="00163E41" w:rsidRPr="00163E41" w:rsidRDefault="00163E41" w:rsidP="00163E4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63E41">
              <w:rPr>
                <w:b/>
                <w:sz w:val="24"/>
                <w:szCs w:val="24"/>
              </w:rPr>
              <w:t>Total</w:t>
            </w:r>
          </w:p>
        </w:tc>
      </w:tr>
      <w:tr w:rsidR="009D38F7" w:rsidRPr="00163E41" w14:paraId="15626E90" w14:textId="30275671" w:rsidTr="00163E41">
        <w:tc>
          <w:tcPr>
            <w:tcW w:w="2417" w:type="dxa"/>
          </w:tcPr>
          <w:p w14:paraId="45C0AC31" w14:textId="465061A2" w:rsidR="009D38F7" w:rsidRPr="009D38F7" w:rsidRDefault="009D38F7" w:rsidP="009D38F7">
            <w:pPr>
              <w:contextualSpacing/>
              <w:rPr>
                <w:b/>
                <w:sz w:val="24"/>
                <w:szCs w:val="24"/>
              </w:rPr>
            </w:pPr>
            <w:r w:rsidRPr="009D38F7">
              <w:rPr>
                <w:b/>
                <w:sz w:val="24"/>
                <w:szCs w:val="24"/>
              </w:rPr>
              <w:t>Comparison of Events</w:t>
            </w:r>
          </w:p>
        </w:tc>
        <w:tc>
          <w:tcPr>
            <w:tcW w:w="2444" w:type="dxa"/>
          </w:tcPr>
          <w:p w14:paraId="0B9AA314" w14:textId="18BE5E65" w:rsidR="009D38F7" w:rsidRPr="00163E41" w:rsidRDefault="009D38F7" w:rsidP="009D38F7">
            <w:pPr>
              <w:contextualSpacing/>
              <w:rPr>
                <w:sz w:val="24"/>
                <w:szCs w:val="24"/>
              </w:rPr>
            </w:pPr>
            <w:r w:rsidRPr="00163E41">
              <w:rPr>
                <w:sz w:val="24"/>
                <w:szCs w:val="24"/>
              </w:rPr>
              <w:t>Submission meets “Proficient” criteria and demonstrates particular insight into economic variables and terminology</w:t>
            </w:r>
          </w:p>
        </w:tc>
        <w:tc>
          <w:tcPr>
            <w:tcW w:w="2426" w:type="dxa"/>
          </w:tcPr>
          <w:p w14:paraId="466EF07C" w14:textId="0FF73DF7" w:rsidR="009D38F7" w:rsidRPr="00163E41" w:rsidRDefault="009D38F7" w:rsidP="009D38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Submission introduces and accurately addresses the major similarities and differences of events, use of appropriate terminology, and using appropriate research sources </w:t>
            </w:r>
          </w:p>
        </w:tc>
        <w:tc>
          <w:tcPr>
            <w:tcW w:w="2516" w:type="dxa"/>
          </w:tcPr>
          <w:p w14:paraId="290CA40F" w14:textId="0F86A529" w:rsidR="009D38F7" w:rsidRPr="00163E41" w:rsidRDefault="009D38F7" w:rsidP="009D38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Submission briefly highlights key points of events but does not provide a validated comparison and contract of events</w:t>
            </w:r>
          </w:p>
        </w:tc>
        <w:tc>
          <w:tcPr>
            <w:tcW w:w="2377" w:type="dxa"/>
          </w:tcPr>
          <w:p w14:paraId="64FE9336" w14:textId="7A63DFF6" w:rsidR="009D38F7" w:rsidRPr="00163E41" w:rsidRDefault="009D38F7" w:rsidP="009D38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Submission does not provide a comparison of events. </w:t>
            </w:r>
          </w:p>
        </w:tc>
        <w:tc>
          <w:tcPr>
            <w:tcW w:w="2210" w:type="dxa"/>
          </w:tcPr>
          <w:p w14:paraId="702C03D1" w14:textId="77777777" w:rsidR="009D38F7" w:rsidRPr="00163E41" w:rsidRDefault="009D38F7" w:rsidP="009D38F7">
            <w:pPr>
              <w:contextualSpacing/>
              <w:rPr>
                <w:sz w:val="24"/>
                <w:szCs w:val="24"/>
              </w:rPr>
            </w:pPr>
          </w:p>
        </w:tc>
      </w:tr>
      <w:tr w:rsidR="009D38F7" w:rsidRPr="00163E41" w14:paraId="09CF42A3" w14:textId="77777777" w:rsidTr="00163E41">
        <w:tc>
          <w:tcPr>
            <w:tcW w:w="2417" w:type="dxa"/>
          </w:tcPr>
          <w:p w14:paraId="082F0126" w14:textId="5F1E576E" w:rsidR="009D38F7" w:rsidRPr="009D38F7" w:rsidRDefault="009D38F7" w:rsidP="009D38F7">
            <w:pPr>
              <w:contextualSpacing/>
              <w:rPr>
                <w:b/>
                <w:sz w:val="24"/>
                <w:szCs w:val="24"/>
              </w:rPr>
            </w:pPr>
            <w:r w:rsidRPr="009D38F7">
              <w:rPr>
                <w:b/>
                <w:sz w:val="24"/>
                <w:szCs w:val="24"/>
              </w:rPr>
              <w:t xml:space="preserve">Government Reactions </w:t>
            </w:r>
          </w:p>
        </w:tc>
        <w:tc>
          <w:tcPr>
            <w:tcW w:w="2444" w:type="dxa"/>
          </w:tcPr>
          <w:p w14:paraId="0E4BCFEC" w14:textId="4E9B4D57" w:rsidR="009D38F7" w:rsidRPr="00163E41" w:rsidRDefault="009D38F7" w:rsidP="009D38F7">
            <w:pPr>
              <w:contextualSpacing/>
              <w:rPr>
                <w:sz w:val="24"/>
                <w:szCs w:val="24"/>
              </w:rPr>
            </w:pPr>
            <w:r w:rsidRPr="009D38F7">
              <w:rPr>
                <w:sz w:val="24"/>
                <w:szCs w:val="24"/>
              </w:rPr>
              <w:t xml:space="preserve">Submission meets “Proficient” criteria and includes key economics concepts that enrich and extend the analysis   </w:t>
            </w:r>
          </w:p>
        </w:tc>
        <w:tc>
          <w:tcPr>
            <w:tcW w:w="2426" w:type="dxa"/>
          </w:tcPr>
          <w:p w14:paraId="0D743E4B" w14:textId="5F194C7F" w:rsidR="009D38F7" w:rsidRDefault="009D38F7" w:rsidP="009D38F7">
            <w:pPr>
              <w:contextualSpacing/>
              <w:rPr>
                <w:sz w:val="24"/>
                <w:szCs w:val="24"/>
              </w:rPr>
            </w:pPr>
            <w:r w:rsidRPr="009D38F7">
              <w:rPr>
                <w:sz w:val="24"/>
                <w:szCs w:val="24"/>
              </w:rPr>
              <w:t>Submission provides a well</w:t>
            </w:r>
            <w:r>
              <w:rPr>
                <w:sz w:val="24"/>
                <w:szCs w:val="24"/>
              </w:rPr>
              <w:t>-</w:t>
            </w:r>
            <w:r w:rsidRPr="009D38F7">
              <w:rPr>
                <w:sz w:val="24"/>
                <w:szCs w:val="24"/>
              </w:rPr>
              <w:t xml:space="preserve">supported comparison of the government reactions in the time periods and resulting regulatory changes  </w:t>
            </w:r>
          </w:p>
        </w:tc>
        <w:tc>
          <w:tcPr>
            <w:tcW w:w="2516" w:type="dxa"/>
          </w:tcPr>
          <w:p w14:paraId="3F868782" w14:textId="6773A689" w:rsidR="009D38F7" w:rsidRDefault="009D38F7" w:rsidP="009D38F7">
            <w:pPr>
              <w:contextualSpacing/>
              <w:rPr>
                <w:sz w:val="24"/>
                <w:szCs w:val="24"/>
              </w:rPr>
            </w:pPr>
            <w:r w:rsidRPr="009D38F7">
              <w:rPr>
                <w:sz w:val="24"/>
                <w:szCs w:val="24"/>
              </w:rPr>
              <w:t>Submission does not provide a logical or supported comparison of the government reactions and regulations in the time periods</w:t>
            </w:r>
          </w:p>
        </w:tc>
        <w:tc>
          <w:tcPr>
            <w:tcW w:w="2377" w:type="dxa"/>
          </w:tcPr>
          <w:p w14:paraId="27094BE9" w14:textId="1B0CB63E" w:rsidR="009D38F7" w:rsidRDefault="009D38F7" w:rsidP="009D38F7">
            <w:pPr>
              <w:contextualSpacing/>
              <w:rPr>
                <w:sz w:val="24"/>
                <w:szCs w:val="24"/>
              </w:rPr>
            </w:pPr>
            <w:r w:rsidRPr="009D38F7">
              <w:rPr>
                <w:sz w:val="24"/>
                <w:szCs w:val="24"/>
              </w:rPr>
              <w:t>Submission does not address government reactions and/or resulting regulations</w:t>
            </w:r>
          </w:p>
        </w:tc>
        <w:tc>
          <w:tcPr>
            <w:tcW w:w="2210" w:type="dxa"/>
          </w:tcPr>
          <w:p w14:paraId="2AB200A3" w14:textId="77777777" w:rsidR="009D38F7" w:rsidRPr="00163E41" w:rsidRDefault="009D38F7" w:rsidP="009D38F7">
            <w:pPr>
              <w:contextualSpacing/>
              <w:rPr>
                <w:sz w:val="24"/>
                <w:szCs w:val="24"/>
              </w:rPr>
            </w:pPr>
          </w:p>
        </w:tc>
      </w:tr>
      <w:tr w:rsidR="009D38F7" w:rsidRPr="00163E41" w14:paraId="6D6D4716" w14:textId="77777777" w:rsidTr="00163E41">
        <w:tc>
          <w:tcPr>
            <w:tcW w:w="2417" w:type="dxa"/>
          </w:tcPr>
          <w:p w14:paraId="0D2F3ED3" w14:textId="419D36D5" w:rsidR="009D38F7" w:rsidRPr="009D38F7" w:rsidRDefault="009D38F7" w:rsidP="009D38F7">
            <w:pPr>
              <w:contextualSpacing/>
              <w:rPr>
                <w:b/>
                <w:sz w:val="24"/>
                <w:szCs w:val="24"/>
              </w:rPr>
            </w:pPr>
            <w:r w:rsidRPr="009D38F7">
              <w:rPr>
                <w:b/>
                <w:sz w:val="24"/>
                <w:szCs w:val="24"/>
              </w:rPr>
              <w:t xml:space="preserve">Effects of Business Decision Making </w:t>
            </w:r>
          </w:p>
        </w:tc>
        <w:tc>
          <w:tcPr>
            <w:tcW w:w="2444" w:type="dxa"/>
          </w:tcPr>
          <w:p w14:paraId="6889E550" w14:textId="49F1AC73" w:rsidR="009D38F7" w:rsidRPr="009D38F7" w:rsidRDefault="009D38F7" w:rsidP="009D38F7">
            <w:pPr>
              <w:contextualSpacing/>
              <w:rPr>
                <w:sz w:val="24"/>
                <w:szCs w:val="24"/>
              </w:rPr>
            </w:pPr>
            <w:r w:rsidRPr="009D38F7">
              <w:rPr>
                <w:sz w:val="24"/>
                <w:szCs w:val="24"/>
              </w:rPr>
              <w:t>Submission meets “Proficient” criteria and includes key economics concepts that enrich and extend the analysis</w:t>
            </w:r>
          </w:p>
        </w:tc>
        <w:tc>
          <w:tcPr>
            <w:tcW w:w="2426" w:type="dxa"/>
          </w:tcPr>
          <w:p w14:paraId="0D2F24E7" w14:textId="198F48DC" w:rsidR="009D38F7" w:rsidRPr="009D38F7" w:rsidRDefault="009D38F7" w:rsidP="009D38F7">
            <w:pPr>
              <w:contextualSpacing/>
              <w:rPr>
                <w:sz w:val="24"/>
                <w:szCs w:val="24"/>
              </w:rPr>
            </w:pPr>
            <w:r w:rsidRPr="009D38F7">
              <w:rPr>
                <w:sz w:val="24"/>
                <w:szCs w:val="24"/>
              </w:rPr>
              <w:t>Submission provides a well</w:t>
            </w:r>
            <w:r>
              <w:rPr>
                <w:sz w:val="24"/>
                <w:szCs w:val="24"/>
              </w:rPr>
              <w:t>-</w:t>
            </w:r>
            <w:r w:rsidRPr="009D38F7">
              <w:rPr>
                <w:sz w:val="24"/>
                <w:szCs w:val="24"/>
              </w:rPr>
              <w:t>supported, logical discussion of the effects on business decision-making during the time periods</w:t>
            </w:r>
          </w:p>
        </w:tc>
        <w:tc>
          <w:tcPr>
            <w:tcW w:w="2516" w:type="dxa"/>
          </w:tcPr>
          <w:p w14:paraId="64A7688A" w14:textId="1CB25842" w:rsidR="009D38F7" w:rsidRPr="009D38F7" w:rsidRDefault="009D38F7" w:rsidP="009D38F7">
            <w:pPr>
              <w:contextualSpacing/>
              <w:rPr>
                <w:sz w:val="24"/>
                <w:szCs w:val="24"/>
              </w:rPr>
            </w:pPr>
            <w:r w:rsidRPr="009D38F7">
              <w:rPr>
                <w:sz w:val="24"/>
                <w:szCs w:val="24"/>
              </w:rPr>
              <w:t>Submission does not provide support for claims or presents gaps in logic</w:t>
            </w:r>
          </w:p>
        </w:tc>
        <w:tc>
          <w:tcPr>
            <w:tcW w:w="2377" w:type="dxa"/>
          </w:tcPr>
          <w:p w14:paraId="05625FEF" w14:textId="52CFC2AB" w:rsidR="009D38F7" w:rsidRPr="009D38F7" w:rsidRDefault="009D38F7" w:rsidP="009D38F7">
            <w:pPr>
              <w:contextualSpacing/>
              <w:rPr>
                <w:sz w:val="24"/>
                <w:szCs w:val="24"/>
              </w:rPr>
            </w:pPr>
            <w:r w:rsidRPr="009D38F7">
              <w:rPr>
                <w:sz w:val="24"/>
                <w:szCs w:val="24"/>
              </w:rPr>
              <w:t>Submission does not address the effects on business decision-making during the time periods</w:t>
            </w:r>
          </w:p>
        </w:tc>
        <w:tc>
          <w:tcPr>
            <w:tcW w:w="2210" w:type="dxa"/>
          </w:tcPr>
          <w:p w14:paraId="2A071996" w14:textId="77777777" w:rsidR="009D38F7" w:rsidRPr="00163E41" w:rsidRDefault="009D38F7" w:rsidP="009D38F7">
            <w:pPr>
              <w:contextualSpacing/>
              <w:rPr>
                <w:sz w:val="24"/>
                <w:szCs w:val="24"/>
              </w:rPr>
            </w:pPr>
          </w:p>
        </w:tc>
      </w:tr>
      <w:tr w:rsidR="009D38F7" w:rsidRPr="00163E41" w14:paraId="1CF282AB" w14:textId="77777777" w:rsidTr="00163E41">
        <w:tc>
          <w:tcPr>
            <w:tcW w:w="2417" w:type="dxa"/>
          </w:tcPr>
          <w:p w14:paraId="734A2E68" w14:textId="5B7CC7B7" w:rsidR="009D38F7" w:rsidRPr="009D38F7" w:rsidRDefault="009D38F7" w:rsidP="009D38F7">
            <w:pPr>
              <w:contextualSpacing/>
              <w:rPr>
                <w:b/>
                <w:sz w:val="24"/>
                <w:szCs w:val="24"/>
              </w:rPr>
            </w:pPr>
            <w:r w:rsidRPr="009D38F7">
              <w:rPr>
                <w:b/>
                <w:sz w:val="24"/>
                <w:szCs w:val="24"/>
              </w:rPr>
              <w:t xml:space="preserve">Analysis of Information </w:t>
            </w:r>
          </w:p>
        </w:tc>
        <w:tc>
          <w:tcPr>
            <w:tcW w:w="2444" w:type="dxa"/>
          </w:tcPr>
          <w:p w14:paraId="7FE33AD2" w14:textId="46934C16" w:rsidR="009D38F7" w:rsidRPr="009D38F7" w:rsidRDefault="009D38F7" w:rsidP="009D38F7">
            <w:pPr>
              <w:contextualSpacing/>
              <w:rPr>
                <w:sz w:val="24"/>
                <w:szCs w:val="24"/>
              </w:rPr>
            </w:pPr>
            <w:r w:rsidRPr="009D38F7">
              <w:rPr>
                <w:sz w:val="24"/>
                <w:szCs w:val="24"/>
              </w:rPr>
              <w:t>Submission meets “Proficient” criteria and provides an insightful analysis to the importance of quantitative analysis through tables, graphs, equations, and/or models</w:t>
            </w:r>
          </w:p>
        </w:tc>
        <w:tc>
          <w:tcPr>
            <w:tcW w:w="2426" w:type="dxa"/>
          </w:tcPr>
          <w:p w14:paraId="4B5491FC" w14:textId="28464C1F" w:rsidR="009D38F7" w:rsidRPr="009D38F7" w:rsidRDefault="009D38F7" w:rsidP="009D38F7">
            <w:pPr>
              <w:contextualSpacing/>
              <w:rPr>
                <w:sz w:val="24"/>
                <w:szCs w:val="24"/>
              </w:rPr>
            </w:pPr>
            <w:r w:rsidRPr="009D38F7">
              <w:rPr>
                <w:sz w:val="24"/>
                <w:szCs w:val="24"/>
              </w:rPr>
              <w:t>Submission accurately and appropriately integrates tables, graphs, equations, and/or models that support the analysis</w:t>
            </w:r>
          </w:p>
        </w:tc>
        <w:tc>
          <w:tcPr>
            <w:tcW w:w="2516" w:type="dxa"/>
          </w:tcPr>
          <w:p w14:paraId="06714897" w14:textId="5FE5FF51" w:rsidR="009D38F7" w:rsidRPr="009D38F7" w:rsidRDefault="009D38F7" w:rsidP="009D38F7">
            <w:pPr>
              <w:contextualSpacing/>
              <w:rPr>
                <w:sz w:val="24"/>
                <w:szCs w:val="24"/>
              </w:rPr>
            </w:pPr>
            <w:r w:rsidRPr="009D38F7">
              <w:rPr>
                <w:sz w:val="24"/>
                <w:szCs w:val="24"/>
              </w:rPr>
              <w:t>Submission provides an inappropriate table, graph, equation, and/or model, or does not discuss its importance to the analysis</w:t>
            </w:r>
          </w:p>
        </w:tc>
        <w:tc>
          <w:tcPr>
            <w:tcW w:w="2377" w:type="dxa"/>
          </w:tcPr>
          <w:p w14:paraId="42FA8CBE" w14:textId="49CF1E61" w:rsidR="009D38F7" w:rsidRPr="009D38F7" w:rsidRDefault="009D38F7" w:rsidP="009D38F7">
            <w:pPr>
              <w:contextualSpacing/>
              <w:rPr>
                <w:sz w:val="24"/>
                <w:szCs w:val="24"/>
              </w:rPr>
            </w:pPr>
            <w:r w:rsidRPr="009D38F7">
              <w:rPr>
                <w:sz w:val="24"/>
                <w:szCs w:val="24"/>
              </w:rPr>
              <w:t>Submission does not provide a table, graph, equation, and/or model</w:t>
            </w:r>
          </w:p>
        </w:tc>
        <w:tc>
          <w:tcPr>
            <w:tcW w:w="2210" w:type="dxa"/>
          </w:tcPr>
          <w:p w14:paraId="20F61E3B" w14:textId="77777777" w:rsidR="009D38F7" w:rsidRPr="00163E41" w:rsidRDefault="009D38F7" w:rsidP="009D38F7">
            <w:pPr>
              <w:contextualSpacing/>
              <w:rPr>
                <w:sz w:val="24"/>
                <w:szCs w:val="24"/>
              </w:rPr>
            </w:pPr>
          </w:p>
        </w:tc>
      </w:tr>
      <w:tr w:rsidR="009D38F7" w:rsidRPr="00163E41" w14:paraId="53E0124F" w14:textId="77777777" w:rsidTr="00163E41">
        <w:tc>
          <w:tcPr>
            <w:tcW w:w="2417" w:type="dxa"/>
          </w:tcPr>
          <w:p w14:paraId="110B6642" w14:textId="454C3295" w:rsidR="009D38F7" w:rsidRPr="009D38F7" w:rsidRDefault="009D38F7" w:rsidP="009D38F7">
            <w:pPr>
              <w:contextualSpacing/>
              <w:rPr>
                <w:b/>
                <w:sz w:val="24"/>
                <w:szCs w:val="24"/>
              </w:rPr>
            </w:pPr>
            <w:r w:rsidRPr="009D38F7">
              <w:rPr>
                <w:b/>
                <w:sz w:val="24"/>
                <w:szCs w:val="24"/>
              </w:rPr>
              <w:t xml:space="preserve">Economic Thinking </w:t>
            </w:r>
          </w:p>
        </w:tc>
        <w:tc>
          <w:tcPr>
            <w:tcW w:w="2444" w:type="dxa"/>
          </w:tcPr>
          <w:p w14:paraId="7D5EBA81" w14:textId="6A932F98" w:rsidR="009D38F7" w:rsidRPr="009D38F7" w:rsidRDefault="009D38F7" w:rsidP="009D38F7">
            <w:pPr>
              <w:contextualSpacing/>
              <w:rPr>
                <w:sz w:val="24"/>
                <w:szCs w:val="24"/>
              </w:rPr>
            </w:pPr>
            <w:r w:rsidRPr="009D38F7">
              <w:rPr>
                <w:sz w:val="24"/>
                <w:szCs w:val="24"/>
              </w:rPr>
              <w:t xml:space="preserve">Submission meets “Proficient” criteria and extends </w:t>
            </w:r>
            <w:r w:rsidRPr="009D38F7">
              <w:rPr>
                <w:sz w:val="24"/>
                <w:szCs w:val="24"/>
              </w:rPr>
              <w:lastRenderedPageBreak/>
              <w:t>discussion into today’s economic conditions for businesses</w:t>
            </w:r>
          </w:p>
        </w:tc>
        <w:tc>
          <w:tcPr>
            <w:tcW w:w="2426" w:type="dxa"/>
          </w:tcPr>
          <w:p w14:paraId="3625E079" w14:textId="39E06DD9" w:rsidR="009D38F7" w:rsidRPr="009D38F7" w:rsidRDefault="009D38F7" w:rsidP="009D38F7">
            <w:pPr>
              <w:contextualSpacing/>
              <w:rPr>
                <w:sz w:val="24"/>
                <w:szCs w:val="24"/>
              </w:rPr>
            </w:pPr>
            <w:r w:rsidRPr="009D38F7">
              <w:rPr>
                <w:sz w:val="24"/>
                <w:szCs w:val="24"/>
              </w:rPr>
              <w:lastRenderedPageBreak/>
              <w:t>Submission provides a well</w:t>
            </w:r>
            <w:r>
              <w:rPr>
                <w:sz w:val="24"/>
                <w:szCs w:val="24"/>
              </w:rPr>
              <w:t>-</w:t>
            </w:r>
            <w:r w:rsidRPr="009D38F7">
              <w:rPr>
                <w:sz w:val="24"/>
                <w:szCs w:val="24"/>
              </w:rPr>
              <w:t xml:space="preserve">supported analysis, using </w:t>
            </w:r>
            <w:r w:rsidRPr="009D38F7">
              <w:rPr>
                <w:sz w:val="24"/>
                <w:szCs w:val="24"/>
              </w:rPr>
              <w:lastRenderedPageBreak/>
              <w:t>relevant examples of how economic thinking influences business organizations</w:t>
            </w:r>
          </w:p>
        </w:tc>
        <w:tc>
          <w:tcPr>
            <w:tcW w:w="2516" w:type="dxa"/>
          </w:tcPr>
          <w:p w14:paraId="6621544D" w14:textId="0249CA75" w:rsidR="009D38F7" w:rsidRPr="009D38F7" w:rsidRDefault="009D38F7" w:rsidP="009D38F7">
            <w:pPr>
              <w:contextualSpacing/>
              <w:rPr>
                <w:sz w:val="24"/>
                <w:szCs w:val="24"/>
              </w:rPr>
            </w:pPr>
            <w:r w:rsidRPr="009D38F7">
              <w:rPr>
                <w:sz w:val="24"/>
                <w:szCs w:val="24"/>
              </w:rPr>
              <w:lastRenderedPageBreak/>
              <w:t xml:space="preserve">Submission briefly or inaccurately discusses key economic </w:t>
            </w:r>
            <w:r w:rsidRPr="009D38F7">
              <w:rPr>
                <w:sz w:val="24"/>
                <w:szCs w:val="24"/>
              </w:rPr>
              <w:lastRenderedPageBreak/>
              <w:t>principles as they relate to business organization</w:t>
            </w:r>
          </w:p>
        </w:tc>
        <w:tc>
          <w:tcPr>
            <w:tcW w:w="2377" w:type="dxa"/>
          </w:tcPr>
          <w:p w14:paraId="27ABFFB7" w14:textId="4534DD81" w:rsidR="009D38F7" w:rsidRPr="009D38F7" w:rsidRDefault="009D38F7" w:rsidP="009D38F7">
            <w:pPr>
              <w:contextualSpacing/>
              <w:rPr>
                <w:sz w:val="24"/>
                <w:szCs w:val="24"/>
              </w:rPr>
            </w:pPr>
            <w:r w:rsidRPr="009D38F7">
              <w:rPr>
                <w:sz w:val="24"/>
                <w:szCs w:val="24"/>
              </w:rPr>
              <w:lastRenderedPageBreak/>
              <w:t xml:space="preserve">Submission does not provide a discussion of the role of </w:t>
            </w:r>
            <w:r w:rsidRPr="009D38F7">
              <w:rPr>
                <w:sz w:val="24"/>
                <w:szCs w:val="24"/>
              </w:rPr>
              <w:lastRenderedPageBreak/>
              <w:t>economic thinking and business organizations</w:t>
            </w:r>
          </w:p>
        </w:tc>
        <w:tc>
          <w:tcPr>
            <w:tcW w:w="2210" w:type="dxa"/>
          </w:tcPr>
          <w:p w14:paraId="0C7DDEFC" w14:textId="77777777" w:rsidR="009D38F7" w:rsidRPr="00163E41" w:rsidRDefault="009D38F7" w:rsidP="009D38F7">
            <w:pPr>
              <w:contextualSpacing/>
              <w:rPr>
                <w:sz w:val="24"/>
                <w:szCs w:val="24"/>
              </w:rPr>
            </w:pPr>
          </w:p>
        </w:tc>
      </w:tr>
      <w:tr w:rsidR="00890C5A" w:rsidRPr="00163E41" w14:paraId="17B69DE0" w14:textId="77777777" w:rsidTr="00163E41">
        <w:tc>
          <w:tcPr>
            <w:tcW w:w="2417" w:type="dxa"/>
          </w:tcPr>
          <w:p w14:paraId="6CAE8E0B" w14:textId="1761A0D5" w:rsidR="00890C5A" w:rsidRPr="009D38F7" w:rsidRDefault="00890C5A" w:rsidP="00890C5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Graphs</w:t>
            </w:r>
          </w:p>
        </w:tc>
        <w:tc>
          <w:tcPr>
            <w:tcW w:w="2444" w:type="dxa"/>
          </w:tcPr>
          <w:p w14:paraId="7F8C2A83" w14:textId="4AE4FD13" w:rsidR="00890C5A" w:rsidRPr="009D38F7" w:rsidRDefault="00890C5A" w:rsidP="00890C5A">
            <w:pPr>
              <w:contextualSpacing/>
              <w:rPr>
                <w:sz w:val="24"/>
                <w:szCs w:val="24"/>
              </w:rPr>
            </w:pPr>
            <w:r w:rsidRPr="009D38F7">
              <w:rPr>
                <w:sz w:val="24"/>
                <w:szCs w:val="24"/>
              </w:rPr>
              <w:t xml:space="preserve">Submission meets “Proficient” criteria and extends discussion into </w:t>
            </w:r>
            <w:r>
              <w:rPr>
                <w:sz w:val="24"/>
                <w:szCs w:val="24"/>
              </w:rPr>
              <w:t xml:space="preserve">graphs and discusses changes in </w:t>
            </w:r>
            <w:r w:rsidRPr="009D38F7">
              <w:rPr>
                <w:sz w:val="24"/>
                <w:szCs w:val="24"/>
              </w:rPr>
              <w:t xml:space="preserve"> economic conditions for businesses</w:t>
            </w:r>
          </w:p>
        </w:tc>
        <w:tc>
          <w:tcPr>
            <w:tcW w:w="2426" w:type="dxa"/>
          </w:tcPr>
          <w:p w14:paraId="3F47E0CC" w14:textId="01F84E63" w:rsidR="00890C5A" w:rsidRPr="009D38F7" w:rsidRDefault="00890C5A" w:rsidP="00890C5A">
            <w:pPr>
              <w:contextualSpacing/>
              <w:rPr>
                <w:sz w:val="24"/>
                <w:szCs w:val="24"/>
              </w:rPr>
            </w:pPr>
            <w:r w:rsidRPr="009D38F7">
              <w:rPr>
                <w:sz w:val="24"/>
                <w:szCs w:val="24"/>
              </w:rPr>
              <w:t>Submission provides a well</w:t>
            </w:r>
            <w:r>
              <w:rPr>
                <w:sz w:val="24"/>
                <w:szCs w:val="24"/>
              </w:rPr>
              <w:t>-</w:t>
            </w:r>
            <w:r w:rsidRPr="009D38F7">
              <w:rPr>
                <w:sz w:val="24"/>
                <w:szCs w:val="24"/>
              </w:rPr>
              <w:t xml:space="preserve">supported analysis, using relevant </w:t>
            </w:r>
            <w:r>
              <w:rPr>
                <w:sz w:val="24"/>
                <w:szCs w:val="24"/>
              </w:rPr>
              <w:t>graphs</w:t>
            </w:r>
            <w:r w:rsidRPr="009D38F7">
              <w:rPr>
                <w:sz w:val="24"/>
                <w:szCs w:val="24"/>
              </w:rPr>
              <w:t xml:space="preserve"> of how economic thinking influences business organizations</w:t>
            </w:r>
          </w:p>
        </w:tc>
        <w:tc>
          <w:tcPr>
            <w:tcW w:w="2516" w:type="dxa"/>
          </w:tcPr>
          <w:p w14:paraId="4387B9AA" w14:textId="5F239852" w:rsidR="00890C5A" w:rsidRPr="009D38F7" w:rsidRDefault="00890C5A" w:rsidP="00890C5A">
            <w:pPr>
              <w:contextualSpacing/>
              <w:rPr>
                <w:sz w:val="24"/>
                <w:szCs w:val="24"/>
              </w:rPr>
            </w:pPr>
            <w:r w:rsidRPr="009D38F7">
              <w:rPr>
                <w:sz w:val="24"/>
                <w:szCs w:val="24"/>
              </w:rPr>
              <w:t xml:space="preserve">Submission briefly or inaccurately </w:t>
            </w:r>
            <w:r>
              <w:rPr>
                <w:sz w:val="24"/>
                <w:szCs w:val="24"/>
              </w:rPr>
              <w:t>shows graphs</w:t>
            </w:r>
            <w:r w:rsidRPr="009D38F7">
              <w:rPr>
                <w:sz w:val="24"/>
                <w:szCs w:val="24"/>
              </w:rPr>
              <w:t xml:space="preserve"> economic principles as they relate to business organization</w:t>
            </w:r>
          </w:p>
        </w:tc>
        <w:tc>
          <w:tcPr>
            <w:tcW w:w="2377" w:type="dxa"/>
          </w:tcPr>
          <w:p w14:paraId="48EA9A81" w14:textId="0A1C5DC7" w:rsidR="00890C5A" w:rsidRPr="009D38F7" w:rsidRDefault="00890C5A" w:rsidP="00890C5A">
            <w:pPr>
              <w:contextualSpacing/>
              <w:rPr>
                <w:sz w:val="24"/>
                <w:szCs w:val="24"/>
              </w:rPr>
            </w:pPr>
            <w:r w:rsidRPr="009D38F7">
              <w:rPr>
                <w:sz w:val="24"/>
                <w:szCs w:val="24"/>
              </w:rPr>
              <w:t xml:space="preserve">Submission does not provide </w:t>
            </w:r>
            <w:r>
              <w:rPr>
                <w:sz w:val="24"/>
                <w:szCs w:val="24"/>
              </w:rPr>
              <w:t>graphs.</w:t>
            </w:r>
          </w:p>
        </w:tc>
        <w:tc>
          <w:tcPr>
            <w:tcW w:w="2210" w:type="dxa"/>
          </w:tcPr>
          <w:p w14:paraId="6B362858" w14:textId="77777777" w:rsidR="00890C5A" w:rsidRPr="00163E41" w:rsidRDefault="00890C5A" w:rsidP="00890C5A">
            <w:pPr>
              <w:contextualSpacing/>
              <w:rPr>
                <w:sz w:val="24"/>
                <w:szCs w:val="24"/>
              </w:rPr>
            </w:pPr>
          </w:p>
        </w:tc>
      </w:tr>
    </w:tbl>
    <w:p w14:paraId="5057CDB0" w14:textId="77777777" w:rsidR="00163E41" w:rsidRDefault="00163E41" w:rsidP="00163E41">
      <w:pPr>
        <w:spacing w:after="0" w:line="240" w:lineRule="auto"/>
        <w:contextualSpacing/>
      </w:pPr>
    </w:p>
    <w:sectPr w:rsidR="00163E41" w:rsidSect="00163E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53674"/>
    <w:multiLevelType w:val="hybridMultilevel"/>
    <w:tmpl w:val="9FCCFF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39"/>
    <w:rsid w:val="0000091D"/>
    <w:rsid w:val="00014F5C"/>
    <w:rsid w:val="00016F99"/>
    <w:rsid w:val="0001795F"/>
    <w:rsid w:val="000408DC"/>
    <w:rsid w:val="000409D4"/>
    <w:rsid w:val="00050840"/>
    <w:rsid w:val="00053FA7"/>
    <w:rsid w:val="00057C10"/>
    <w:rsid w:val="000612C8"/>
    <w:rsid w:val="00063405"/>
    <w:rsid w:val="00065DA9"/>
    <w:rsid w:val="0007260B"/>
    <w:rsid w:val="00073004"/>
    <w:rsid w:val="000816C7"/>
    <w:rsid w:val="0009391E"/>
    <w:rsid w:val="000A1891"/>
    <w:rsid w:val="00127D56"/>
    <w:rsid w:val="00140F81"/>
    <w:rsid w:val="00156AA3"/>
    <w:rsid w:val="001612FE"/>
    <w:rsid w:val="00163E41"/>
    <w:rsid w:val="00165A91"/>
    <w:rsid w:val="00173158"/>
    <w:rsid w:val="001735CB"/>
    <w:rsid w:val="00180EA4"/>
    <w:rsid w:val="00184836"/>
    <w:rsid w:val="001968CC"/>
    <w:rsid w:val="001A100A"/>
    <w:rsid w:val="001B59E9"/>
    <w:rsid w:val="001C00AD"/>
    <w:rsid w:val="001C6783"/>
    <w:rsid w:val="001C6B67"/>
    <w:rsid w:val="001D77E5"/>
    <w:rsid w:val="001F377C"/>
    <w:rsid w:val="00200D33"/>
    <w:rsid w:val="00202EF6"/>
    <w:rsid w:val="00212098"/>
    <w:rsid w:val="002128D9"/>
    <w:rsid w:val="00220642"/>
    <w:rsid w:val="00224515"/>
    <w:rsid w:val="00224C5D"/>
    <w:rsid w:val="00225971"/>
    <w:rsid w:val="00235229"/>
    <w:rsid w:val="00254CBB"/>
    <w:rsid w:val="002613BC"/>
    <w:rsid w:val="002733DB"/>
    <w:rsid w:val="0027557D"/>
    <w:rsid w:val="00292827"/>
    <w:rsid w:val="002978F4"/>
    <w:rsid w:val="002A5200"/>
    <w:rsid w:val="002C26A3"/>
    <w:rsid w:val="002C4E2E"/>
    <w:rsid w:val="002C74CD"/>
    <w:rsid w:val="002D46BB"/>
    <w:rsid w:val="002E176B"/>
    <w:rsid w:val="002F5B72"/>
    <w:rsid w:val="00320003"/>
    <w:rsid w:val="003268F9"/>
    <w:rsid w:val="00333A41"/>
    <w:rsid w:val="00337E91"/>
    <w:rsid w:val="00340DD6"/>
    <w:rsid w:val="0035222C"/>
    <w:rsid w:val="0037313F"/>
    <w:rsid w:val="00374171"/>
    <w:rsid w:val="003753D0"/>
    <w:rsid w:val="00377176"/>
    <w:rsid w:val="003807F1"/>
    <w:rsid w:val="00381761"/>
    <w:rsid w:val="003929C3"/>
    <w:rsid w:val="00396049"/>
    <w:rsid w:val="003964AC"/>
    <w:rsid w:val="0039754C"/>
    <w:rsid w:val="003B384F"/>
    <w:rsid w:val="003B73A0"/>
    <w:rsid w:val="003C1BA3"/>
    <w:rsid w:val="003C239F"/>
    <w:rsid w:val="003D497C"/>
    <w:rsid w:val="003E05D5"/>
    <w:rsid w:val="003E0DD9"/>
    <w:rsid w:val="003E2809"/>
    <w:rsid w:val="003F1027"/>
    <w:rsid w:val="003F3B2A"/>
    <w:rsid w:val="00400A34"/>
    <w:rsid w:val="00400E2C"/>
    <w:rsid w:val="00401868"/>
    <w:rsid w:val="00402E33"/>
    <w:rsid w:val="004100C0"/>
    <w:rsid w:val="00426025"/>
    <w:rsid w:val="00427981"/>
    <w:rsid w:val="0043026E"/>
    <w:rsid w:val="00432F80"/>
    <w:rsid w:val="00451F69"/>
    <w:rsid w:val="00457CCA"/>
    <w:rsid w:val="00471139"/>
    <w:rsid w:val="004711FB"/>
    <w:rsid w:val="004720B4"/>
    <w:rsid w:val="0048051A"/>
    <w:rsid w:val="004A2031"/>
    <w:rsid w:val="004B2485"/>
    <w:rsid w:val="004B24FC"/>
    <w:rsid w:val="004C3002"/>
    <w:rsid w:val="004D040C"/>
    <w:rsid w:val="004D4E73"/>
    <w:rsid w:val="004E0EE7"/>
    <w:rsid w:val="004E2B19"/>
    <w:rsid w:val="004E7CFE"/>
    <w:rsid w:val="004F41E2"/>
    <w:rsid w:val="00503983"/>
    <w:rsid w:val="00506CED"/>
    <w:rsid w:val="005201E1"/>
    <w:rsid w:val="00531C4A"/>
    <w:rsid w:val="00533A4C"/>
    <w:rsid w:val="00533BD8"/>
    <w:rsid w:val="00546D1B"/>
    <w:rsid w:val="00552D94"/>
    <w:rsid w:val="005609B4"/>
    <w:rsid w:val="00560E0B"/>
    <w:rsid w:val="0056161A"/>
    <w:rsid w:val="00572118"/>
    <w:rsid w:val="005828D2"/>
    <w:rsid w:val="005852EE"/>
    <w:rsid w:val="005976BF"/>
    <w:rsid w:val="005A0026"/>
    <w:rsid w:val="005A748D"/>
    <w:rsid w:val="005A7A0D"/>
    <w:rsid w:val="005C2AED"/>
    <w:rsid w:val="005C5F06"/>
    <w:rsid w:val="005D2E33"/>
    <w:rsid w:val="005D75F4"/>
    <w:rsid w:val="005E5F7A"/>
    <w:rsid w:val="005F1D88"/>
    <w:rsid w:val="005F4BEF"/>
    <w:rsid w:val="005F5FAD"/>
    <w:rsid w:val="00624126"/>
    <w:rsid w:val="00633460"/>
    <w:rsid w:val="00645B9B"/>
    <w:rsid w:val="00653551"/>
    <w:rsid w:val="00660646"/>
    <w:rsid w:val="00666433"/>
    <w:rsid w:val="00691B97"/>
    <w:rsid w:val="006A191E"/>
    <w:rsid w:val="006A4185"/>
    <w:rsid w:val="006E6AEF"/>
    <w:rsid w:val="006E7A5F"/>
    <w:rsid w:val="006F0B95"/>
    <w:rsid w:val="006F1AAE"/>
    <w:rsid w:val="00702E39"/>
    <w:rsid w:val="007051E8"/>
    <w:rsid w:val="0070676D"/>
    <w:rsid w:val="00707713"/>
    <w:rsid w:val="007143CE"/>
    <w:rsid w:val="00715A7C"/>
    <w:rsid w:val="00721D69"/>
    <w:rsid w:val="00724169"/>
    <w:rsid w:val="007353D8"/>
    <w:rsid w:val="00744B95"/>
    <w:rsid w:val="00746629"/>
    <w:rsid w:val="007545BC"/>
    <w:rsid w:val="00757C39"/>
    <w:rsid w:val="00763065"/>
    <w:rsid w:val="00766C20"/>
    <w:rsid w:val="00766C70"/>
    <w:rsid w:val="007809FD"/>
    <w:rsid w:val="00787BAE"/>
    <w:rsid w:val="007A2B14"/>
    <w:rsid w:val="007A3A0A"/>
    <w:rsid w:val="007B2E84"/>
    <w:rsid w:val="007B2FDC"/>
    <w:rsid w:val="007B6E26"/>
    <w:rsid w:val="007C7D31"/>
    <w:rsid w:val="007E483F"/>
    <w:rsid w:val="007E4860"/>
    <w:rsid w:val="00801D3E"/>
    <w:rsid w:val="00807967"/>
    <w:rsid w:val="008113DF"/>
    <w:rsid w:val="008161DB"/>
    <w:rsid w:val="008174EB"/>
    <w:rsid w:val="008229B0"/>
    <w:rsid w:val="00833870"/>
    <w:rsid w:val="0083439E"/>
    <w:rsid w:val="00840D27"/>
    <w:rsid w:val="00861D5B"/>
    <w:rsid w:val="008672E5"/>
    <w:rsid w:val="00867BBD"/>
    <w:rsid w:val="008828C7"/>
    <w:rsid w:val="00890BD3"/>
    <w:rsid w:val="00890C5A"/>
    <w:rsid w:val="00890D1D"/>
    <w:rsid w:val="00896602"/>
    <w:rsid w:val="008A6429"/>
    <w:rsid w:val="008B0B8D"/>
    <w:rsid w:val="008B1782"/>
    <w:rsid w:val="008B29FE"/>
    <w:rsid w:val="008C3D64"/>
    <w:rsid w:val="008C4EAB"/>
    <w:rsid w:val="008D2691"/>
    <w:rsid w:val="008F4729"/>
    <w:rsid w:val="00904AA2"/>
    <w:rsid w:val="00911671"/>
    <w:rsid w:val="00920972"/>
    <w:rsid w:val="00925635"/>
    <w:rsid w:val="0093092F"/>
    <w:rsid w:val="00935471"/>
    <w:rsid w:val="0094239F"/>
    <w:rsid w:val="009472CF"/>
    <w:rsid w:val="00951BFB"/>
    <w:rsid w:val="009541B3"/>
    <w:rsid w:val="00964738"/>
    <w:rsid w:val="009759CD"/>
    <w:rsid w:val="0098288C"/>
    <w:rsid w:val="00984881"/>
    <w:rsid w:val="00984922"/>
    <w:rsid w:val="009A21F8"/>
    <w:rsid w:val="009A3E18"/>
    <w:rsid w:val="009A751A"/>
    <w:rsid w:val="009B16B1"/>
    <w:rsid w:val="009D38F7"/>
    <w:rsid w:val="009D6E90"/>
    <w:rsid w:val="009D7E82"/>
    <w:rsid w:val="009E66C7"/>
    <w:rsid w:val="009F470B"/>
    <w:rsid w:val="00A07367"/>
    <w:rsid w:val="00A1154C"/>
    <w:rsid w:val="00A14FA3"/>
    <w:rsid w:val="00A304CD"/>
    <w:rsid w:val="00A32FF3"/>
    <w:rsid w:val="00A33C39"/>
    <w:rsid w:val="00A53EFD"/>
    <w:rsid w:val="00A54372"/>
    <w:rsid w:val="00A60806"/>
    <w:rsid w:val="00A61784"/>
    <w:rsid w:val="00A6248A"/>
    <w:rsid w:val="00A65809"/>
    <w:rsid w:val="00A736F9"/>
    <w:rsid w:val="00A74A20"/>
    <w:rsid w:val="00AB4600"/>
    <w:rsid w:val="00AE161A"/>
    <w:rsid w:val="00AE3D28"/>
    <w:rsid w:val="00AF700C"/>
    <w:rsid w:val="00AF7D3E"/>
    <w:rsid w:val="00B11C1E"/>
    <w:rsid w:val="00B24F6A"/>
    <w:rsid w:val="00B25CAF"/>
    <w:rsid w:val="00B3467B"/>
    <w:rsid w:val="00B5226B"/>
    <w:rsid w:val="00B545C4"/>
    <w:rsid w:val="00B57C4E"/>
    <w:rsid w:val="00B63109"/>
    <w:rsid w:val="00B73266"/>
    <w:rsid w:val="00B83D53"/>
    <w:rsid w:val="00B856E2"/>
    <w:rsid w:val="00B92AA4"/>
    <w:rsid w:val="00B9423C"/>
    <w:rsid w:val="00BA04C3"/>
    <w:rsid w:val="00BB102E"/>
    <w:rsid w:val="00BB4DFD"/>
    <w:rsid w:val="00BC2EB3"/>
    <w:rsid w:val="00BC3132"/>
    <w:rsid w:val="00BE04EE"/>
    <w:rsid w:val="00BE6D64"/>
    <w:rsid w:val="00BE7D1B"/>
    <w:rsid w:val="00BF0C53"/>
    <w:rsid w:val="00BF2088"/>
    <w:rsid w:val="00BF3879"/>
    <w:rsid w:val="00BF3EC4"/>
    <w:rsid w:val="00BF5CDF"/>
    <w:rsid w:val="00C108B6"/>
    <w:rsid w:val="00C2441E"/>
    <w:rsid w:val="00C258EA"/>
    <w:rsid w:val="00C31FAB"/>
    <w:rsid w:val="00C56AA4"/>
    <w:rsid w:val="00C61AA3"/>
    <w:rsid w:val="00C62E34"/>
    <w:rsid w:val="00C74651"/>
    <w:rsid w:val="00C773F1"/>
    <w:rsid w:val="00C8387D"/>
    <w:rsid w:val="00C94B8E"/>
    <w:rsid w:val="00C95AD4"/>
    <w:rsid w:val="00CA4B5E"/>
    <w:rsid w:val="00CA71A6"/>
    <w:rsid w:val="00CB50EF"/>
    <w:rsid w:val="00CB611C"/>
    <w:rsid w:val="00CC3D83"/>
    <w:rsid w:val="00CC4B7F"/>
    <w:rsid w:val="00CD104D"/>
    <w:rsid w:val="00CD79A0"/>
    <w:rsid w:val="00D0760C"/>
    <w:rsid w:val="00D17DAC"/>
    <w:rsid w:val="00D218B8"/>
    <w:rsid w:val="00D32730"/>
    <w:rsid w:val="00D36E67"/>
    <w:rsid w:val="00D51BC0"/>
    <w:rsid w:val="00D64912"/>
    <w:rsid w:val="00D7325E"/>
    <w:rsid w:val="00D7575D"/>
    <w:rsid w:val="00D764C4"/>
    <w:rsid w:val="00D770FA"/>
    <w:rsid w:val="00D87A83"/>
    <w:rsid w:val="00DA1A09"/>
    <w:rsid w:val="00DC1069"/>
    <w:rsid w:val="00DC15E0"/>
    <w:rsid w:val="00DC2AF3"/>
    <w:rsid w:val="00DD18CE"/>
    <w:rsid w:val="00DE00D5"/>
    <w:rsid w:val="00DF1FF8"/>
    <w:rsid w:val="00DF6927"/>
    <w:rsid w:val="00DF7836"/>
    <w:rsid w:val="00E036BD"/>
    <w:rsid w:val="00E103F0"/>
    <w:rsid w:val="00E1090A"/>
    <w:rsid w:val="00E1243C"/>
    <w:rsid w:val="00E12842"/>
    <w:rsid w:val="00E16027"/>
    <w:rsid w:val="00E20F3F"/>
    <w:rsid w:val="00E24B2A"/>
    <w:rsid w:val="00E24E2B"/>
    <w:rsid w:val="00E30998"/>
    <w:rsid w:val="00E44A01"/>
    <w:rsid w:val="00E53A44"/>
    <w:rsid w:val="00E56A38"/>
    <w:rsid w:val="00E6214E"/>
    <w:rsid w:val="00E6458F"/>
    <w:rsid w:val="00E67124"/>
    <w:rsid w:val="00E7107F"/>
    <w:rsid w:val="00E85A16"/>
    <w:rsid w:val="00E90984"/>
    <w:rsid w:val="00EA1407"/>
    <w:rsid w:val="00EA27BF"/>
    <w:rsid w:val="00EA2B9E"/>
    <w:rsid w:val="00EB2F1A"/>
    <w:rsid w:val="00EC71C0"/>
    <w:rsid w:val="00ED181B"/>
    <w:rsid w:val="00EF098B"/>
    <w:rsid w:val="00EF1C41"/>
    <w:rsid w:val="00F15A16"/>
    <w:rsid w:val="00F2012E"/>
    <w:rsid w:val="00F414B7"/>
    <w:rsid w:val="00F43CF3"/>
    <w:rsid w:val="00F459DF"/>
    <w:rsid w:val="00F4728A"/>
    <w:rsid w:val="00F56450"/>
    <w:rsid w:val="00F628E5"/>
    <w:rsid w:val="00F735F5"/>
    <w:rsid w:val="00F85392"/>
    <w:rsid w:val="00F8599D"/>
    <w:rsid w:val="00FA63A4"/>
    <w:rsid w:val="00FB055D"/>
    <w:rsid w:val="00FC33F4"/>
    <w:rsid w:val="00FC5064"/>
    <w:rsid w:val="00FD0C4F"/>
    <w:rsid w:val="00FE121A"/>
    <w:rsid w:val="00FF1A94"/>
    <w:rsid w:val="00FF42C4"/>
    <w:rsid w:val="00FF44B5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A55E"/>
  <w15:chartTrackingRefBased/>
  <w15:docId w15:val="{D4623F8B-5CE9-4D28-AC45-EBDB4FCB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04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3E41"/>
    <w:pPr>
      <w:ind w:left="720"/>
      <w:contextualSpacing/>
    </w:pPr>
  </w:style>
  <w:style w:type="table" w:styleId="TableGrid">
    <w:name w:val="Table Grid"/>
    <w:basedOn w:val="TableNormal"/>
    <w:uiPriority w:val="39"/>
    <w:rsid w:val="0016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Twyford</dc:creator>
  <cp:keywords/>
  <dc:description/>
  <cp:lastModifiedBy>Christopher Renteria</cp:lastModifiedBy>
  <cp:revision>2</cp:revision>
  <cp:lastPrinted>2016-10-13T15:52:00Z</cp:lastPrinted>
  <dcterms:created xsi:type="dcterms:W3CDTF">2020-07-21T02:50:00Z</dcterms:created>
  <dcterms:modified xsi:type="dcterms:W3CDTF">2020-07-21T02:50:00Z</dcterms:modified>
</cp:coreProperties>
</file>