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22F62" w14:textId="6F94E95C" w:rsidR="00E57C17" w:rsidRDefault="00BF2732" w:rsidP="00FD74C9">
      <w:pPr>
        <w:spacing w:line="480" w:lineRule="auto"/>
        <w:ind w:firstLine="720"/>
        <w:rPr>
          <w:rFonts w:ascii="Times New Roman" w:hAnsi="Times New Roman" w:cs="Times New Roman"/>
          <w:lang w:val="en-AU"/>
        </w:rPr>
      </w:pPr>
      <w:r w:rsidRPr="00CA5958">
        <w:rPr>
          <w:rFonts w:ascii="Times New Roman" w:hAnsi="Times New Roman" w:cs="Times New Roman"/>
          <w:lang w:val="en-AU"/>
        </w:rPr>
        <w:t>The Australian Standard Geographical Classification – Remoteness Areas (ASGC-RA) is a geographic classification system that was developed by the Australian Bureau of Statistics (ABS) in 2001, that is a statistical geography structure used to make quantitative comparisons between ‘city’ and ‘country’ in Australia.</w:t>
      </w:r>
      <w:r w:rsidR="007F5A8F" w:rsidRPr="00CA5958">
        <w:rPr>
          <w:rFonts w:ascii="Times New Roman" w:hAnsi="Times New Roman" w:cs="Times New Roman"/>
          <w:lang w:val="en-AU"/>
        </w:rPr>
        <w:t xml:space="preserve"> Based on data from census Collection </w:t>
      </w:r>
      <w:commentRangeStart w:id="0"/>
      <w:r w:rsidR="007F5A8F" w:rsidRPr="00CA5958">
        <w:rPr>
          <w:rFonts w:ascii="Times New Roman" w:hAnsi="Times New Roman" w:cs="Times New Roman"/>
          <w:lang w:val="en-AU"/>
        </w:rPr>
        <w:t>Districts</w:t>
      </w:r>
      <w:commentRangeEnd w:id="0"/>
      <w:r w:rsidR="00121138">
        <w:rPr>
          <w:rStyle w:val="CommentReference"/>
        </w:rPr>
        <w:commentReference w:id="0"/>
      </w:r>
      <w:r w:rsidR="007F5A8F" w:rsidRPr="00CA5958">
        <w:rPr>
          <w:rFonts w:ascii="Times New Roman" w:hAnsi="Times New Roman" w:cs="Times New Roman"/>
          <w:lang w:val="en-AU"/>
        </w:rPr>
        <w:t xml:space="preserve"> (CDs), the ASGC-RA classifies these CDs into broader geographical categories, known as Remoteness Areas (RAs). Remoteness refers to the physical distance of a location from the nearest Urban Centre </w:t>
      </w:r>
      <w:r w:rsidR="006034DB" w:rsidRPr="00CA5958">
        <w:rPr>
          <w:rFonts w:ascii="Times New Roman" w:hAnsi="Times New Roman" w:cs="Times New Roman"/>
          <w:lang w:val="en-AU"/>
        </w:rPr>
        <w:t xml:space="preserve">(access to goods and services) based on size of the population. </w:t>
      </w:r>
      <w:r w:rsidR="008F04E2" w:rsidRPr="00CA5958">
        <w:rPr>
          <w:rFonts w:ascii="Times New Roman" w:hAnsi="Times New Roman" w:cs="Times New Roman"/>
          <w:lang w:val="en-AU"/>
        </w:rPr>
        <w:t xml:space="preserve">(Australian Government, Department of Health). </w:t>
      </w:r>
      <w:r w:rsidR="009876C9" w:rsidRPr="00CA5958">
        <w:rPr>
          <w:rFonts w:ascii="Times New Roman" w:hAnsi="Times New Roman" w:cs="Times New Roman"/>
          <w:lang w:val="en-AU"/>
        </w:rPr>
        <w:t>U</w:t>
      </w:r>
      <w:r w:rsidR="008F04E2" w:rsidRPr="00CA5958">
        <w:rPr>
          <w:rFonts w:ascii="Times New Roman" w:hAnsi="Times New Roman" w:cs="Times New Roman"/>
          <w:lang w:val="en-AU"/>
        </w:rPr>
        <w:t xml:space="preserve">sing a public health approach, </w:t>
      </w:r>
      <w:r w:rsidR="009876C9" w:rsidRPr="00CA5958">
        <w:rPr>
          <w:rFonts w:ascii="Times New Roman" w:hAnsi="Times New Roman" w:cs="Times New Roman"/>
          <w:lang w:val="en-AU"/>
        </w:rPr>
        <w:t xml:space="preserve">the </w:t>
      </w:r>
      <w:commentRangeStart w:id="1"/>
      <w:r w:rsidR="009876C9" w:rsidRPr="00CA5958">
        <w:rPr>
          <w:rFonts w:ascii="Times New Roman" w:hAnsi="Times New Roman" w:cs="Times New Roman"/>
          <w:lang w:val="en-AU"/>
        </w:rPr>
        <w:t>implications</w:t>
      </w:r>
      <w:commentRangeEnd w:id="1"/>
      <w:r w:rsidR="00121138">
        <w:rPr>
          <w:rStyle w:val="CommentReference"/>
        </w:rPr>
        <w:commentReference w:id="1"/>
      </w:r>
      <w:r w:rsidR="009876C9" w:rsidRPr="00CA5958">
        <w:rPr>
          <w:rFonts w:ascii="Times New Roman" w:hAnsi="Times New Roman" w:cs="Times New Roman"/>
          <w:lang w:val="en-AU"/>
        </w:rPr>
        <w:t xml:space="preserve"> of remoteness for the</w:t>
      </w:r>
      <w:r w:rsidR="001B6C0F" w:rsidRPr="00CA5958">
        <w:rPr>
          <w:rFonts w:ascii="Times New Roman" w:hAnsi="Times New Roman" w:cs="Times New Roman"/>
          <w:lang w:val="en-AU"/>
        </w:rPr>
        <w:t xml:space="preserve"> health of the community of Alice Springs</w:t>
      </w:r>
      <w:r w:rsidR="009876C9" w:rsidRPr="00CA5958">
        <w:rPr>
          <w:rFonts w:ascii="Times New Roman" w:hAnsi="Times New Roman" w:cs="Times New Roman"/>
          <w:lang w:val="en-AU"/>
        </w:rPr>
        <w:t xml:space="preserve">, which has a ‘remote’ RA category, </w:t>
      </w:r>
      <w:r w:rsidR="008F04E2" w:rsidRPr="00CA5958">
        <w:rPr>
          <w:rFonts w:ascii="Times New Roman" w:hAnsi="Times New Roman" w:cs="Times New Roman"/>
          <w:lang w:val="en-AU"/>
        </w:rPr>
        <w:t xml:space="preserve">will be discussed, </w:t>
      </w:r>
      <w:r w:rsidR="009876C9" w:rsidRPr="00CA5958">
        <w:rPr>
          <w:rFonts w:ascii="Times New Roman" w:hAnsi="Times New Roman" w:cs="Times New Roman"/>
          <w:lang w:val="en-AU"/>
        </w:rPr>
        <w:t xml:space="preserve">taking the social determinants of health into consideration. </w:t>
      </w:r>
      <w:r w:rsidR="008F04E2" w:rsidRPr="00CA5958">
        <w:rPr>
          <w:rFonts w:ascii="Times New Roman" w:hAnsi="Times New Roman" w:cs="Times New Roman"/>
          <w:lang w:val="en-AU"/>
        </w:rPr>
        <w:t xml:space="preserve">The strengths and weaknesses of the health promotion initiative Healthy School-Age Kids (HSAK), which is implemented in Alice Springs, will also be discussed (Department of Health and Community Services, 2007). </w:t>
      </w:r>
    </w:p>
    <w:p w14:paraId="4C714683" w14:textId="24860F71" w:rsidR="007F3CC3" w:rsidRDefault="007F3CC3" w:rsidP="007F3CC3">
      <w:pPr>
        <w:spacing w:line="480" w:lineRule="auto"/>
        <w:ind w:firstLine="720"/>
        <w:rPr>
          <w:rFonts w:ascii="Times New Roman" w:hAnsi="Times New Roman" w:cs="Times New Roman"/>
          <w:lang w:val="en-AU"/>
        </w:rPr>
      </w:pPr>
      <w:r w:rsidRPr="00CA5958">
        <w:rPr>
          <w:rFonts w:ascii="Times New Roman" w:hAnsi="Times New Roman" w:cs="Times New Roman"/>
          <w:lang w:val="en-AU"/>
        </w:rPr>
        <w:t xml:space="preserve">Alice Springs has a population of 28,667 people, and Aboriginal Australians make up </w:t>
      </w:r>
      <w:commentRangeStart w:id="2"/>
      <w:r w:rsidRPr="00CA5958">
        <w:rPr>
          <w:rFonts w:ascii="Times New Roman" w:hAnsi="Times New Roman" w:cs="Times New Roman"/>
          <w:lang w:val="en-AU"/>
        </w:rPr>
        <w:t>a</w:t>
      </w:r>
      <w:commentRangeEnd w:id="2"/>
      <w:r w:rsidR="00121138">
        <w:rPr>
          <w:rStyle w:val="CommentReference"/>
        </w:rPr>
        <w:commentReference w:id="2"/>
      </w:r>
      <w:r w:rsidRPr="00CA5958">
        <w:rPr>
          <w:rFonts w:ascii="Times New Roman" w:hAnsi="Times New Roman" w:cs="Times New Roman"/>
          <w:lang w:val="en-AU"/>
        </w:rPr>
        <w:t xml:space="preserve"> large portion of this population - 18.8%</w:t>
      </w:r>
      <w:r w:rsidR="00FF7806">
        <w:rPr>
          <w:rFonts w:ascii="Times New Roman" w:hAnsi="Times New Roman" w:cs="Times New Roman"/>
          <w:lang w:val="en-AU"/>
        </w:rPr>
        <w:t>. There is only one hospital in Alice Springs (ABS, 2006), and also</w:t>
      </w:r>
      <w:r w:rsidRPr="00CA5958">
        <w:rPr>
          <w:rFonts w:ascii="Times New Roman" w:hAnsi="Times New Roman" w:cs="Times New Roman"/>
          <w:lang w:val="en-AU"/>
        </w:rPr>
        <w:t xml:space="preserve"> a high prevalence of chronic health conditions at young ages in the Aboriginal populations of remote region</w:t>
      </w:r>
      <w:r w:rsidR="00FF7806">
        <w:rPr>
          <w:rFonts w:ascii="Times New Roman" w:hAnsi="Times New Roman" w:cs="Times New Roman"/>
          <w:lang w:val="en-AU"/>
        </w:rPr>
        <w:t>s in Northern Territory (NT)</w:t>
      </w:r>
      <w:r w:rsidRPr="00CA5958">
        <w:rPr>
          <w:rFonts w:ascii="Times New Roman" w:hAnsi="Times New Roman" w:cs="Times New Roman"/>
          <w:lang w:val="en-AU"/>
        </w:rPr>
        <w:t xml:space="preserve"> such as Alice Springs. It has been reported that by </w:t>
      </w:r>
      <w:r w:rsidR="00FF7806">
        <w:rPr>
          <w:rFonts w:ascii="Times New Roman" w:hAnsi="Times New Roman" w:cs="Times New Roman"/>
          <w:lang w:val="en-AU"/>
        </w:rPr>
        <w:t>fifteen</w:t>
      </w:r>
      <w:r w:rsidRPr="00CA5958">
        <w:rPr>
          <w:rFonts w:ascii="Times New Roman" w:hAnsi="Times New Roman" w:cs="Times New Roman"/>
          <w:lang w:val="en-AU"/>
        </w:rPr>
        <w:t xml:space="preserve"> years of age, 8.6% of this population have renal </w:t>
      </w:r>
      <w:commentRangeStart w:id="3"/>
      <w:r w:rsidRPr="00CA5958">
        <w:rPr>
          <w:rFonts w:ascii="Times New Roman" w:hAnsi="Times New Roman" w:cs="Times New Roman"/>
          <w:lang w:val="en-AU"/>
        </w:rPr>
        <w:t>disease</w:t>
      </w:r>
      <w:commentRangeEnd w:id="3"/>
      <w:r w:rsidR="00121138">
        <w:rPr>
          <w:rStyle w:val="CommentReference"/>
        </w:rPr>
        <w:commentReference w:id="3"/>
      </w:r>
      <w:r w:rsidRPr="00CA5958">
        <w:rPr>
          <w:rFonts w:ascii="Times New Roman" w:hAnsi="Times New Roman" w:cs="Times New Roman"/>
          <w:lang w:val="en-AU"/>
        </w:rPr>
        <w:t xml:space="preserve">, 0.4% have type 2 diabetes, and 0.3% have ischaemic heart disease, with obesity being an important risk factor. As a result of this, the burden of disease is nearly four times higher for Aboriginals living in NT than it is for all Australians (Zhao, Connors, Wright, Guthridge, &amp; Bailey, 2008). The health of people living in rural and remote areas such as Alice Springs is generally lower than for those living in major cities. They tend to live shorter lives and experience higher levels of illness and disease, with Aboriginal Australians dying </w:t>
      </w:r>
      <w:r w:rsidRPr="00CA5958">
        <w:rPr>
          <w:rFonts w:ascii="Times New Roman" w:hAnsi="Times New Roman" w:cs="Times New Roman"/>
          <w:lang w:val="en-AU"/>
        </w:rPr>
        <w:lastRenderedPageBreak/>
        <w:t xml:space="preserve">approximately 20 years earlier than non-aboriginal Australians (Australian Institute of Health and Welfare, 2011). </w:t>
      </w:r>
    </w:p>
    <w:p w14:paraId="755F81F6" w14:textId="7B3AEAE8" w:rsidR="007F3CC3" w:rsidRPr="00CA5958" w:rsidRDefault="00FF7806" w:rsidP="007F3CC3">
      <w:pPr>
        <w:spacing w:line="480" w:lineRule="auto"/>
        <w:ind w:firstLine="720"/>
        <w:rPr>
          <w:rFonts w:ascii="Times New Roman" w:hAnsi="Times New Roman" w:cs="Times New Roman"/>
          <w:lang w:val="en-AU"/>
        </w:rPr>
      </w:pPr>
      <w:r>
        <w:rPr>
          <w:rFonts w:ascii="Times New Roman" w:hAnsi="Times New Roman" w:cs="Times New Roman"/>
          <w:lang w:val="en-AU"/>
        </w:rPr>
        <w:t xml:space="preserve">These health disadvantages can be explained by the social determinants of health. </w:t>
      </w:r>
      <w:r w:rsidR="007F3CC3" w:rsidRPr="00CA5958">
        <w:rPr>
          <w:rFonts w:ascii="Times New Roman" w:hAnsi="Times New Roman" w:cs="Times New Roman"/>
          <w:lang w:val="en-AU"/>
        </w:rPr>
        <w:t xml:space="preserve">The </w:t>
      </w:r>
      <w:commentRangeStart w:id="4"/>
      <w:r w:rsidR="007F3CC3" w:rsidRPr="00CA5958">
        <w:rPr>
          <w:rFonts w:ascii="Times New Roman" w:hAnsi="Times New Roman" w:cs="Times New Roman"/>
          <w:lang w:val="en-AU"/>
        </w:rPr>
        <w:t>World</w:t>
      </w:r>
      <w:commentRangeEnd w:id="4"/>
      <w:r w:rsidR="00121138">
        <w:rPr>
          <w:rStyle w:val="CommentReference"/>
        </w:rPr>
        <w:commentReference w:id="4"/>
      </w:r>
      <w:r w:rsidR="007F3CC3" w:rsidRPr="00CA5958">
        <w:rPr>
          <w:rFonts w:ascii="Times New Roman" w:hAnsi="Times New Roman" w:cs="Times New Roman"/>
          <w:lang w:val="en-AU"/>
        </w:rPr>
        <w:t xml:space="preserve"> Health Organization (WHO) describes the social determinants of health as the circumstances in which people are born, grow, live, work and age. These circumstances are defined by the distribution of money, power and resources at global, national and local levels. The social determinants of health are the main cause of health inequities, which are the unfair and avoidable differences in health seen between and within countries (WHO, 2010). </w:t>
      </w:r>
    </w:p>
    <w:p w14:paraId="4D135BAE" w14:textId="7C8C1171" w:rsidR="007F3CC3" w:rsidRDefault="007F3CC3" w:rsidP="007F3CC3">
      <w:pPr>
        <w:spacing w:line="480" w:lineRule="auto"/>
        <w:ind w:firstLine="720"/>
        <w:rPr>
          <w:rFonts w:ascii="Times New Roman" w:hAnsi="Times New Roman" w:cs="Times New Roman"/>
          <w:lang w:val="en-AU"/>
        </w:rPr>
      </w:pPr>
      <w:r w:rsidRPr="00CA5958">
        <w:rPr>
          <w:rFonts w:ascii="Times New Roman" w:hAnsi="Times New Roman" w:cs="Times New Roman"/>
          <w:lang w:val="en-AU"/>
        </w:rPr>
        <w:t xml:space="preserve">Some significant social determinants of Aboriginal health in remote Australian communities such as Alice Springs include the lack of equal access to primary health care and the lower quality of health infrastructure, such as housing, food, safe drinking water and effective sewerage systems and rubbish collection services. Aboriginal Australians also experience a socioeconomic disadvantage compared to non-Aboriginal Australians. The </w:t>
      </w:r>
      <w:commentRangeStart w:id="5"/>
      <w:r w:rsidRPr="00CA5958">
        <w:rPr>
          <w:rFonts w:ascii="Times New Roman" w:hAnsi="Times New Roman" w:cs="Times New Roman"/>
          <w:lang w:val="en-AU"/>
        </w:rPr>
        <w:t>2001</w:t>
      </w:r>
      <w:commentRangeEnd w:id="5"/>
      <w:r w:rsidR="00995E11">
        <w:rPr>
          <w:rStyle w:val="CommentReference"/>
        </w:rPr>
        <w:commentReference w:id="5"/>
      </w:r>
      <w:r w:rsidRPr="00CA5958">
        <w:rPr>
          <w:rFonts w:ascii="Times New Roman" w:hAnsi="Times New Roman" w:cs="Times New Roman"/>
          <w:lang w:val="en-AU"/>
        </w:rPr>
        <w:t xml:space="preserve"> National Census reported that the gross household income for Aboriginal Australians was 62% of the rate for non-Aboriginal Australians. </w:t>
      </w:r>
      <w:r w:rsidR="00FF7806">
        <w:rPr>
          <w:rFonts w:ascii="Times New Roman" w:hAnsi="Times New Roman" w:cs="Times New Roman"/>
          <w:lang w:val="en-AU"/>
        </w:rPr>
        <w:t>The unemployment rate was also three</w:t>
      </w:r>
      <w:r w:rsidRPr="00CA5958">
        <w:rPr>
          <w:rFonts w:ascii="Times New Roman" w:hAnsi="Times New Roman" w:cs="Times New Roman"/>
          <w:lang w:val="en-AU"/>
        </w:rPr>
        <w:t xml:space="preserve"> times </w:t>
      </w:r>
      <w:commentRangeStart w:id="6"/>
      <w:r w:rsidRPr="00CA5958">
        <w:rPr>
          <w:rFonts w:ascii="Times New Roman" w:hAnsi="Times New Roman" w:cs="Times New Roman"/>
          <w:lang w:val="en-AU"/>
        </w:rPr>
        <w:t>higher</w:t>
      </w:r>
      <w:commentRangeEnd w:id="6"/>
      <w:r w:rsidR="00121138">
        <w:rPr>
          <w:rStyle w:val="CommentReference"/>
        </w:rPr>
        <w:commentReference w:id="6"/>
      </w:r>
      <w:r w:rsidRPr="00CA5958">
        <w:rPr>
          <w:rFonts w:ascii="Times New Roman" w:hAnsi="Times New Roman" w:cs="Times New Roman"/>
          <w:lang w:val="en-AU"/>
        </w:rPr>
        <w:t xml:space="preserve"> for Aboriginal Australians, and Aboriginal students were half as like</w:t>
      </w:r>
      <w:r w:rsidR="00FF7806">
        <w:rPr>
          <w:rFonts w:ascii="Times New Roman" w:hAnsi="Times New Roman" w:cs="Times New Roman"/>
          <w:lang w:val="en-AU"/>
        </w:rPr>
        <w:t>ly to continue school to year twelve</w:t>
      </w:r>
      <w:r w:rsidRPr="00CA5958">
        <w:rPr>
          <w:rFonts w:ascii="Times New Roman" w:hAnsi="Times New Roman" w:cs="Times New Roman"/>
          <w:lang w:val="en-AU"/>
        </w:rPr>
        <w:t xml:space="preserve"> (ABS,</w:t>
      </w:r>
      <w:r w:rsidR="003F7637">
        <w:rPr>
          <w:rFonts w:ascii="Times New Roman" w:hAnsi="Times New Roman" w:cs="Times New Roman"/>
          <w:lang w:val="en-AU"/>
        </w:rPr>
        <w:t xml:space="preserve"> 2001</w:t>
      </w:r>
      <w:r w:rsidRPr="00CA5958">
        <w:rPr>
          <w:rFonts w:ascii="Times New Roman" w:hAnsi="Times New Roman" w:cs="Times New Roman"/>
          <w:lang w:val="en-AU"/>
        </w:rPr>
        <w:t>). These determinants lead to poorer health outcomes for Aboriginal Australians in Alice Springs compared to non-Aboriginal Australian</w:t>
      </w:r>
      <w:bookmarkStart w:id="7" w:name="_GoBack"/>
      <w:bookmarkEnd w:id="7"/>
      <w:r w:rsidRPr="00CA5958">
        <w:rPr>
          <w:rFonts w:ascii="Times New Roman" w:hAnsi="Times New Roman" w:cs="Times New Roman"/>
          <w:lang w:val="en-AU"/>
        </w:rPr>
        <w:t>s. Poor education and literacy lead to poor health outcomes, as it leads to a lower socioeconomic status, and poor income makes healthcare services and medicines less accessible. Overcrowded, unsanitary housing also contributes to poverty and the spread of communicable diseases. Smoking and other high-risk behaviours are also associated with lower socioeconomic status, and also lead to poor health outcomes (</w:t>
      </w:r>
      <w:r w:rsidR="007035ED">
        <w:rPr>
          <w:rFonts w:ascii="Times New Roman" w:hAnsi="Times New Roman" w:cs="Times New Roman"/>
          <w:lang w:val="en-AU"/>
        </w:rPr>
        <w:t>Wilkinson &amp; Marmot</w:t>
      </w:r>
      <w:r w:rsidRPr="00CA5958">
        <w:rPr>
          <w:rFonts w:ascii="Times New Roman" w:hAnsi="Times New Roman" w:cs="Times New Roman"/>
          <w:lang w:val="en-AU"/>
        </w:rPr>
        <w:t xml:space="preserve">, </w:t>
      </w:r>
      <w:r w:rsidR="007035ED">
        <w:rPr>
          <w:rFonts w:ascii="Times New Roman" w:hAnsi="Times New Roman" w:cs="Times New Roman"/>
          <w:lang w:val="en-AU"/>
        </w:rPr>
        <w:t>2003</w:t>
      </w:r>
      <w:r w:rsidRPr="00CA5958">
        <w:rPr>
          <w:rFonts w:ascii="Times New Roman" w:hAnsi="Times New Roman" w:cs="Times New Roman"/>
          <w:lang w:val="en-AU"/>
        </w:rPr>
        <w:t xml:space="preserve">). </w:t>
      </w:r>
    </w:p>
    <w:p w14:paraId="6255F269" w14:textId="77777777" w:rsidR="00C155D0" w:rsidRPr="00CA5958" w:rsidRDefault="00C155D0" w:rsidP="00C155D0">
      <w:pPr>
        <w:spacing w:line="480" w:lineRule="auto"/>
        <w:ind w:firstLine="720"/>
        <w:rPr>
          <w:rFonts w:ascii="Times New Roman" w:hAnsi="Times New Roman" w:cs="Times New Roman"/>
          <w:lang w:val="en-AU"/>
        </w:rPr>
      </w:pPr>
      <w:r w:rsidRPr="00CA5958">
        <w:rPr>
          <w:rFonts w:ascii="Times New Roman" w:hAnsi="Times New Roman" w:cs="Times New Roman"/>
          <w:lang w:val="en-AU"/>
        </w:rPr>
        <w:lastRenderedPageBreak/>
        <w:t>Although people living in remote areas generally experience lower levels of health, the aspect of culture is a potential benefit of rural health, particularly within Aboriginal communities of Australia such as Alice Springs. Aboriginal Australians highly value social relationships, their physical and emotional bonds to the country, and the connection to the spirit of their ancestors (</w:t>
      </w:r>
      <w:proofErr w:type="spellStart"/>
      <w:r>
        <w:rPr>
          <w:rFonts w:ascii="Times New Roman" w:hAnsi="Times New Roman" w:cs="Times New Roman"/>
          <w:lang w:val="en-AU"/>
        </w:rPr>
        <w:t>Lohoar</w:t>
      </w:r>
      <w:proofErr w:type="spellEnd"/>
      <w:r>
        <w:rPr>
          <w:rFonts w:ascii="Times New Roman" w:hAnsi="Times New Roman" w:cs="Times New Roman"/>
          <w:lang w:val="en-AU"/>
        </w:rPr>
        <w:t>, Butera, &amp; Kennedy, 2011</w:t>
      </w:r>
      <w:r w:rsidRPr="00CA5958">
        <w:rPr>
          <w:rFonts w:ascii="Times New Roman" w:hAnsi="Times New Roman" w:cs="Times New Roman"/>
          <w:lang w:val="en-AU"/>
        </w:rPr>
        <w:t>). Aboriginal culture thus revolves around a ‘collectivist’ kinship, which means that people identify themselves through their relations with other people, their community, and their culture. As a result, Aboriginal Australians care for and protect their family and community members, bringing them closer together (Yeo, 2003). Strong social networks can enhance health through providing emotional and material support, and access to health information. It also results in less risky health behaviour (</w:t>
      </w:r>
      <w:proofErr w:type="spellStart"/>
      <w:r w:rsidRPr="00CA5958">
        <w:rPr>
          <w:rFonts w:ascii="Times New Roman" w:hAnsi="Times New Roman" w:cs="Times New Roman"/>
          <w:lang w:val="en-AU"/>
        </w:rPr>
        <w:t>Kawachi</w:t>
      </w:r>
      <w:proofErr w:type="spellEnd"/>
      <w:r w:rsidRPr="00CA5958">
        <w:rPr>
          <w:rFonts w:ascii="Times New Roman" w:hAnsi="Times New Roman" w:cs="Times New Roman"/>
          <w:lang w:val="en-AU"/>
        </w:rPr>
        <w:t xml:space="preserve"> &amp; Berkman, 2001), benefiting the health of Aboriginals in Alice Springs. </w:t>
      </w:r>
    </w:p>
    <w:p w14:paraId="74C1569E" w14:textId="1081EBE5" w:rsidR="00F76AF4" w:rsidRPr="00CA5958" w:rsidRDefault="000B4BD8" w:rsidP="00C155D0">
      <w:pPr>
        <w:spacing w:line="480" w:lineRule="auto"/>
        <w:ind w:firstLine="720"/>
        <w:rPr>
          <w:rFonts w:ascii="Times New Roman" w:hAnsi="Times New Roman" w:cs="Times New Roman"/>
          <w:lang w:val="en-AU"/>
        </w:rPr>
      </w:pPr>
      <w:r w:rsidRPr="00CA5958">
        <w:rPr>
          <w:rFonts w:ascii="Times New Roman" w:hAnsi="Times New Roman" w:cs="Times New Roman"/>
          <w:lang w:val="en-AU"/>
        </w:rPr>
        <w:t xml:space="preserve">The HSAK </w:t>
      </w:r>
      <w:r w:rsidR="0050014B" w:rsidRPr="00CA5958">
        <w:rPr>
          <w:rFonts w:ascii="Times New Roman" w:hAnsi="Times New Roman" w:cs="Times New Roman"/>
          <w:lang w:val="en-AU"/>
        </w:rPr>
        <w:t xml:space="preserve">program is a joint health promotion initiative of the Department of Health </w:t>
      </w:r>
      <w:commentRangeStart w:id="8"/>
      <w:r w:rsidR="0050014B" w:rsidRPr="00CA5958">
        <w:rPr>
          <w:rFonts w:ascii="Times New Roman" w:hAnsi="Times New Roman" w:cs="Times New Roman"/>
          <w:lang w:val="en-AU"/>
        </w:rPr>
        <w:t>and</w:t>
      </w:r>
      <w:commentRangeEnd w:id="8"/>
      <w:r w:rsidR="00121138">
        <w:rPr>
          <w:rStyle w:val="CommentReference"/>
        </w:rPr>
        <w:commentReference w:id="8"/>
      </w:r>
      <w:r w:rsidR="0050014B" w:rsidRPr="00CA5958">
        <w:rPr>
          <w:rFonts w:ascii="Times New Roman" w:hAnsi="Times New Roman" w:cs="Times New Roman"/>
          <w:lang w:val="en-AU"/>
        </w:rPr>
        <w:t xml:space="preserve"> Community Services and the Department of Emp</w:t>
      </w:r>
      <w:r w:rsidRPr="00CA5958">
        <w:rPr>
          <w:rFonts w:ascii="Times New Roman" w:hAnsi="Times New Roman" w:cs="Times New Roman"/>
          <w:lang w:val="en-AU"/>
        </w:rPr>
        <w:t xml:space="preserve">loyment, Education and Training </w:t>
      </w:r>
      <w:r w:rsidR="0050014B" w:rsidRPr="00CA5958">
        <w:rPr>
          <w:rFonts w:ascii="Times New Roman" w:hAnsi="Times New Roman" w:cs="Times New Roman"/>
          <w:lang w:val="en-AU"/>
        </w:rPr>
        <w:t xml:space="preserve">for school-age children in remote </w:t>
      </w:r>
      <w:r w:rsidRPr="00CA5958">
        <w:rPr>
          <w:rFonts w:ascii="Times New Roman" w:hAnsi="Times New Roman" w:cs="Times New Roman"/>
          <w:lang w:val="en-AU"/>
        </w:rPr>
        <w:t>regions</w:t>
      </w:r>
      <w:r w:rsidR="0050014B" w:rsidRPr="00CA5958">
        <w:rPr>
          <w:rFonts w:ascii="Times New Roman" w:hAnsi="Times New Roman" w:cs="Times New Roman"/>
          <w:lang w:val="en-AU"/>
        </w:rPr>
        <w:t xml:space="preserve"> of the Northern Territory. </w:t>
      </w:r>
      <w:r w:rsidR="001322AD" w:rsidRPr="00CA5958">
        <w:rPr>
          <w:rFonts w:ascii="Times New Roman" w:hAnsi="Times New Roman" w:cs="Times New Roman"/>
          <w:lang w:val="en-AU"/>
        </w:rPr>
        <w:t xml:space="preserve">The program is part of the health promoting school </w:t>
      </w:r>
      <w:r w:rsidR="009E3F7D" w:rsidRPr="00CA5958">
        <w:rPr>
          <w:rFonts w:ascii="Times New Roman" w:hAnsi="Times New Roman" w:cs="Times New Roman"/>
          <w:lang w:val="en-AU"/>
        </w:rPr>
        <w:t xml:space="preserve">(HPS) </w:t>
      </w:r>
      <w:r w:rsidR="001322AD" w:rsidRPr="00CA5958">
        <w:rPr>
          <w:rFonts w:ascii="Times New Roman" w:hAnsi="Times New Roman" w:cs="Times New Roman"/>
          <w:lang w:val="en-AU"/>
        </w:rPr>
        <w:t xml:space="preserve">model, which primarily aims to assure children are healthy so that they can learn to the best of their ability. This is achieved by the joint collaboration of health and education staff working with children, families and community </w:t>
      </w:r>
      <w:r w:rsidR="004F4E30" w:rsidRPr="00CA5958">
        <w:rPr>
          <w:rFonts w:ascii="Times New Roman" w:hAnsi="Times New Roman" w:cs="Times New Roman"/>
          <w:lang w:val="en-AU"/>
        </w:rPr>
        <w:t xml:space="preserve">members </w:t>
      </w:r>
      <w:r w:rsidR="001322AD" w:rsidRPr="00CA5958">
        <w:rPr>
          <w:rFonts w:ascii="Times New Roman" w:hAnsi="Times New Roman" w:cs="Times New Roman"/>
          <w:lang w:val="en-AU"/>
        </w:rPr>
        <w:t>for health promotion, education and provision of health services.</w:t>
      </w:r>
      <w:r w:rsidR="00852983" w:rsidRPr="00CA5958">
        <w:rPr>
          <w:rFonts w:ascii="Times New Roman" w:hAnsi="Times New Roman" w:cs="Times New Roman"/>
          <w:lang w:val="en-AU"/>
        </w:rPr>
        <w:t xml:space="preserve"> In this program, children learn the traditional and western ways of how to st</w:t>
      </w:r>
      <w:r w:rsidRPr="00CA5958">
        <w:rPr>
          <w:rFonts w:ascii="Times New Roman" w:hAnsi="Times New Roman" w:cs="Times New Roman"/>
          <w:lang w:val="en-AU"/>
        </w:rPr>
        <w:t>ay healthy and prevent sickness, and t</w:t>
      </w:r>
      <w:r w:rsidR="00F76AF4" w:rsidRPr="00CA5958">
        <w:rPr>
          <w:rFonts w:ascii="Times New Roman" w:hAnsi="Times New Roman" w:cs="Times New Roman"/>
          <w:lang w:val="en-AU"/>
        </w:rPr>
        <w:t>he targets for health promotion include injury prevention, behaviour problems, mental health, smoking, substance misuse, nutrition, hy</w:t>
      </w:r>
      <w:r w:rsidRPr="00CA5958">
        <w:rPr>
          <w:rFonts w:ascii="Times New Roman" w:hAnsi="Times New Roman" w:cs="Times New Roman"/>
          <w:lang w:val="en-AU"/>
        </w:rPr>
        <w:t xml:space="preserve">giene, sexuality education, </w:t>
      </w:r>
      <w:r w:rsidR="00F76AF4" w:rsidRPr="00CA5958">
        <w:rPr>
          <w:rFonts w:ascii="Times New Roman" w:hAnsi="Times New Roman" w:cs="Times New Roman"/>
          <w:lang w:val="en-AU"/>
        </w:rPr>
        <w:t xml:space="preserve">physical activity and sport. </w:t>
      </w:r>
      <w:r w:rsidR="00852983" w:rsidRPr="00CA5958">
        <w:rPr>
          <w:rFonts w:ascii="Times New Roman" w:hAnsi="Times New Roman" w:cs="Times New Roman"/>
          <w:lang w:val="en-AU"/>
        </w:rPr>
        <w:t xml:space="preserve">The program also addresses health problems at school such as hunger and anaemia to improve general health, classroom behaviour and school attendance, which in turn improves the level of general education. Another aspect of this program is the school-aged health check, which </w:t>
      </w:r>
      <w:r w:rsidR="00852983" w:rsidRPr="00CA5958">
        <w:rPr>
          <w:rFonts w:ascii="Times New Roman" w:hAnsi="Times New Roman" w:cs="Times New Roman"/>
          <w:lang w:val="en-AU"/>
        </w:rPr>
        <w:lastRenderedPageBreak/>
        <w:t xml:space="preserve">is a screening process for health problems or risk factors for adult health problems in children. This aims to prevent adult health problems such as diabetes, high blood pressure and kidney disease, as </w:t>
      </w:r>
      <w:r w:rsidRPr="00CA5958">
        <w:rPr>
          <w:rFonts w:ascii="Times New Roman" w:hAnsi="Times New Roman" w:cs="Times New Roman"/>
          <w:lang w:val="en-AU"/>
        </w:rPr>
        <w:t xml:space="preserve">these often start in childhood (Department of Health and Community Services, 2007). </w:t>
      </w:r>
    </w:p>
    <w:p w14:paraId="4F701110" w14:textId="58EDA67C" w:rsidR="00D140A0" w:rsidRPr="00CA5958" w:rsidRDefault="00FF7806" w:rsidP="00185947">
      <w:pPr>
        <w:spacing w:line="480" w:lineRule="auto"/>
        <w:ind w:firstLine="720"/>
        <w:rPr>
          <w:rFonts w:ascii="Times New Roman" w:hAnsi="Times New Roman" w:cs="Times New Roman"/>
          <w:lang w:val="en-AU"/>
        </w:rPr>
      </w:pPr>
      <w:r>
        <w:rPr>
          <w:rFonts w:ascii="Times New Roman" w:hAnsi="Times New Roman" w:cs="Times New Roman"/>
          <w:lang w:val="en-AU"/>
        </w:rPr>
        <w:t>The HSAK has a number of strengths</w:t>
      </w:r>
      <w:r w:rsidR="00C155D0">
        <w:rPr>
          <w:rFonts w:ascii="Times New Roman" w:hAnsi="Times New Roman" w:cs="Times New Roman"/>
          <w:lang w:val="en-AU"/>
        </w:rPr>
        <w:t xml:space="preserve"> and weaknesses</w:t>
      </w:r>
      <w:r>
        <w:rPr>
          <w:rFonts w:ascii="Times New Roman" w:hAnsi="Times New Roman" w:cs="Times New Roman"/>
          <w:lang w:val="en-AU"/>
        </w:rPr>
        <w:t>. One</w:t>
      </w:r>
      <w:r w:rsidR="008F3731" w:rsidRPr="00CA5958">
        <w:rPr>
          <w:rFonts w:ascii="Times New Roman" w:hAnsi="Times New Roman" w:cs="Times New Roman"/>
          <w:lang w:val="en-AU"/>
        </w:rPr>
        <w:t xml:space="preserve"> strength of the HSAK is </w:t>
      </w:r>
      <w:commentRangeStart w:id="9"/>
      <w:r w:rsidR="008F3731" w:rsidRPr="00CA5958">
        <w:rPr>
          <w:rFonts w:ascii="Times New Roman" w:hAnsi="Times New Roman" w:cs="Times New Roman"/>
          <w:lang w:val="en-AU"/>
        </w:rPr>
        <w:t>that</w:t>
      </w:r>
      <w:commentRangeEnd w:id="9"/>
      <w:r w:rsidR="00121138">
        <w:rPr>
          <w:rStyle w:val="CommentReference"/>
        </w:rPr>
        <w:commentReference w:id="9"/>
      </w:r>
      <w:r w:rsidR="008F3731" w:rsidRPr="00CA5958">
        <w:rPr>
          <w:rFonts w:ascii="Times New Roman" w:hAnsi="Times New Roman" w:cs="Times New Roman"/>
          <w:lang w:val="en-AU"/>
        </w:rPr>
        <w:t xml:space="preserve"> it targets the health of children, as the WHO highlights the importance of childhood experiences on heal</w:t>
      </w:r>
      <w:r w:rsidR="00D140A0" w:rsidRPr="00CA5958">
        <w:rPr>
          <w:rFonts w:ascii="Times New Roman" w:hAnsi="Times New Roman" w:cs="Times New Roman"/>
          <w:lang w:val="en-AU"/>
        </w:rPr>
        <w:t xml:space="preserve">th later in life. This is because </w:t>
      </w:r>
      <w:r w:rsidR="008F3731" w:rsidRPr="00CA5958">
        <w:rPr>
          <w:rFonts w:ascii="Times New Roman" w:hAnsi="Times New Roman" w:cs="Times New Roman"/>
          <w:lang w:val="en-AU"/>
        </w:rPr>
        <w:t xml:space="preserve">many non-communicable diseases, mental disorders, and injuries can </w:t>
      </w:r>
      <w:commentRangeStart w:id="10"/>
      <w:r w:rsidR="008F3731" w:rsidRPr="00CA5958">
        <w:rPr>
          <w:rFonts w:ascii="Times New Roman" w:hAnsi="Times New Roman" w:cs="Times New Roman"/>
          <w:lang w:val="en-AU"/>
        </w:rPr>
        <w:t xml:space="preserve">be prevented </w:t>
      </w:r>
      <w:commentRangeEnd w:id="10"/>
      <w:r w:rsidR="00995E11">
        <w:rPr>
          <w:rStyle w:val="CommentReference"/>
        </w:rPr>
        <w:commentReference w:id="10"/>
      </w:r>
      <w:r w:rsidR="008F3731" w:rsidRPr="00CA5958">
        <w:rPr>
          <w:rFonts w:ascii="Times New Roman" w:hAnsi="Times New Roman" w:cs="Times New Roman"/>
          <w:lang w:val="en-AU"/>
        </w:rPr>
        <w:t>when they are targeted in childhood and ado</w:t>
      </w:r>
      <w:r w:rsidR="00D140A0" w:rsidRPr="00CA5958">
        <w:rPr>
          <w:rFonts w:ascii="Times New Roman" w:hAnsi="Times New Roman" w:cs="Times New Roman"/>
          <w:lang w:val="en-AU"/>
        </w:rPr>
        <w:t xml:space="preserve">lescence, and also because </w:t>
      </w:r>
      <w:r w:rsidR="008F3731" w:rsidRPr="00CA5958">
        <w:rPr>
          <w:rFonts w:ascii="Times New Roman" w:hAnsi="Times New Roman" w:cs="Times New Roman"/>
          <w:lang w:val="en-AU"/>
        </w:rPr>
        <w:t>healthy children obtain better educational outcomes, which result</w:t>
      </w:r>
      <w:r w:rsidR="00D140A0" w:rsidRPr="00CA5958">
        <w:rPr>
          <w:rFonts w:ascii="Times New Roman" w:hAnsi="Times New Roman" w:cs="Times New Roman"/>
          <w:lang w:val="en-AU"/>
        </w:rPr>
        <w:t>s</w:t>
      </w:r>
      <w:r w:rsidR="008F3731" w:rsidRPr="00CA5958">
        <w:rPr>
          <w:rFonts w:ascii="Times New Roman" w:hAnsi="Times New Roman" w:cs="Times New Roman"/>
          <w:lang w:val="en-AU"/>
        </w:rPr>
        <w:t xml:space="preserve"> in better health outcomes</w:t>
      </w:r>
      <w:r w:rsidR="00D140A0" w:rsidRPr="00CA5958">
        <w:rPr>
          <w:rFonts w:ascii="Times New Roman" w:hAnsi="Times New Roman" w:cs="Times New Roman"/>
          <w:lang w:val="en-AU"/>
        </w:rPr>
        <w:t>,</w:t>
      </w:r>
      <w:r w:rsidR="007035ED">
        <w:rPr>
          <w:rFonts w:ascii="Times New Roman" w:hAnsi="Times New Roman" w:cs="Times New Roman"/>
          <w:lang w:val="en-AU"/>
        </w:rPr>
        <w:t xml:space="preserve"> as previously discussed (</w:t>
      </w:r>
      <w:proofErr w:type="spellStart"/>
      <w:r w:rsidR="007035ED">
        <w:rPr>
          <w:rFonts w:ascii="Times New Roman" w:hAnsi="Times New Roman" w:cs="Times New Roman"/>
          <w:lang w:val="en-AU"/>
        </w:rPr>
        <w:t>Suhrck</w:t>
      </w:r>
      <w:r w:rsidR="008F3731" w:rsidRPr="00CA5958">
        <w:rPr>
          <w:rFonts w:ascii="Times New Roman" w:hAnsi="Times New Roman" w:cs="Times New Roman"/>
          <w:lang w:val="en-AU"/>
        </w:rPr>
        <w:t>e</w:t>
      </w:r>
      <w:proofErr w:type="spellEnd"/>
      <w:r w:rsidR="008F3731" w:rsidRPr="00CA5958">
        <w:rPr>
          <w:rFonts w:ascii="Times New Roman" w:hAnsi="Times New Roman" w:cs="Times New Roman"/>
          <w:lang w:val="en-AU"/>
        </w:rPr>
        <w:t xml:space="preserve">, De Paz Nieves, 2011). Another </w:t>
      </w:r>
      <w:r w:rsidR="00FB7395" w:rsidRPr="00CA5958">
        <w:rPr>
          <w:rFonts w:ascii="Times New Roman" w:hAnsi="Times New Roman" w:cs="Times New Roman"/>
          <w:lang w:val="en-AU"/>
        </w:rPr>
        <w:t xml:space="preserve">strength of the </w:t>
      </w:r>
      <w:commentRangeStart w:id="11"/>
      <w:r w:rsidR="00FB7395" w:rsidRPr="00CA5958">
        <w:rPr>
          <w:rFonts w:ascii="Times New Roman" w:hAnsi="Times New Roman" w:cs="Times New Roman"/>
          <w:lang w:val="en-AU"/>
        </w:rPr>
        <w:t xml:space="preserve">HSAK </w:t>
      </w:r>
      <w:r w:rsidR="003444E6" w:rsidRPr="00CA5958">
        <w:rPr>
          <w:rFonts w:ascii="Times New Roman" w:hAnsi="Times New Roman" w:cs="Times New Roman"/>
          <w:lang w:val="en-AU"/>
        </w:rPr>
        <w:t xml:space="preserve">is that it </w:t>
      </w:r>
      <w:r w:rsidR="009E3F7D" w:rsidRPr="00CA5958">
        <w:rPr>
          <w:rFonts w:ascii="Times New Roman" w:hAnsi="Times New Roman" w:cs="Times New Roman"/>
          <w:lang w:val="en-AU"/>
        </w:rPr>
        <w:t xml:space="preserve">is part of the HPS </w:t>
      </w:r>
      <w:r w:rsidR="003444E6" w:rsidRPr="00CA5958">
        <w:rPr>
          <w:rFonts w:ascii="Times New Roman" w:hAnsi="Times New Roman" w:cs="Times New Roman"/>
          <w:lang w:val="en-AU"/>
        </w:rPr>
        <w:t xml:space="preserve">model, </w:t>
      </w:r>
      <w:commentRangeEnd w:id="11"/>
      <w:r w:rsidR="00121138">
        <w:rPr>
          <w:rStyle w:val="CommentReference"/>
        </w:rPr>
        <w:commentReference w:id="11"/>
      </w:r>
      <w:r w:rsidR="003444E6" w:rsidRPr="00CA5958">
        <w:rPr>
          <w:rFonts w:ascii="Times New Roman" w:hAnsi="Times New Roman" w:cs="Times New Roman"/>
          <w:lang w:val="en-AU"/>
        </w:rPr>
        <w:t xml:space="preserve">which has evidence to support its efficacy in improving health outcomes. </w:t>
      </w:r>
      <w:r w:rsidR="009E3F7D" w:rsidRPr="00CA5958">
        <w:rPr>
          <w:rFonts w:ascii="Times New Roman" w:hAnsi="Times New Roman" w:cs="Times New Roman"/>
          <w:lang w:val="en-AU"/>
        </w:rPr>
        <w:t>Evidence suggests that the way a school is managed, the experiences of the students and the way</w:t>
      </w:r>
      <w:r w:rsidR="00C731B8" w:rsidRPr="00CA5958">
        <w:rPr>
          <w:rFonts w:ascii="Times New Roman" w:hAnsi="Times New Roman" w:cs="Times New Roman"/>
          <w:lang w:val="en-AU"/>
        </w:rPr>
        <w:t xml:space="preserve"> they are treated by teachers</w:t>
      </w:r>
      <w:r w:rsidR="006C3178" w:rsidRPr="00CA5958">
        <w:rPr>
          <w:rFonts w:ascii="Times New Roman" w:hAnsi="Times New Roman" w:cs="Times New Roman"/>
          <w:lang w:val="en-AU"/>
        </w:rPr>
        <w:t xml:space="preserve"> can develop</w:t>
      </w:r>
      <w:r w:rsidR="009E3F7D" w:rsidRPr="00CA5958">
        <w:rPr>
          <w:rFonts w:ascii="Times New Roman" w:hAnsi="Times New Roman" w:cs="Times New Roman"/>
          <w:lang w:val="en-AU"/>
        </w:rPr>
        <w:t xml:space="preserve"> many protective factors for health and reduc</w:t>
      </w:r>
      <w:r w:rsidR="008C03B2" w:rsidRPr="00CA5958">
        <w:rPr>
          <w:rFonts w:ascii="Times New Roman" w:hAnsi="Times New Roman" w:cs="Times New Roman"/>
          <w:lang w:val="en-AU"/>
        </w:rPr>
        <w:t>e</w:t>
      </w:r>
      <w:r w:rsidR="00FE0E81" w:rsidRPr="00CA5958">
        <w:rPr>
          <w:rFonts w:ascii="Times New Roman" w:hAnsi="Times New Roman" w:cs="Times New Roman"/>
          <w:lang w:val="en-AU"/>
        </w:rPr>
        <w:t xml:space="preserve"> high-risk health behaviours</w:t>
      </w:r>
      <w:r w:rsidR="006C3178" w:rsidRPr="00CA5958">
        <w:rPr>
          <w:rFonts w:ascii="Times New Roman" w:hAnsi="Times New Roman" w:cs="Times New Roman"/>
          <w:lang w:val="en-AU"/>
        </w:rPr>
        <w:t xml:space="preserve">. This is most effective when HPS programs are </w:t>
      </w:r>
      <w:r w:rsidR="00D140A0" w:rsidRPr="00CA5958">
        <w:rPr>
          <w:rFonts w:ascii="Times New Roman" w:hAnsi="Times New Roman" w:cs="Times New Roman"/>
          <w:lang w:val="en-AU"/>
        </w:rPr>
        <w:t xml:space="preserve">involved and </w:t>
      </w:r>
      <w:r w:rsidR="006C3178" w:rsidRPr="00CA5958">
        <w:rPr>
          <w:rFonts w:ascii="Times New Roman" w:hAnsi="Times New Roman" w:cs="Times New Roman"/>
          <w:lang w:val="en-AU"/>
        </w:rPr>
        <w:t>i</w:t>
      </w:r>
      <w:r w:rsidR="008C03B2" w:rsidRPr="00CA5958">
        <w:rPr>
          <w:rFonts w:ascii="Times New Roman" w:hAnsi="Times New Roman" w:cs="Times New Roman"/>
          <w:lang w:val="en-AU"/>
        </w:rPr>
        <w:t xml:space="preserve">nnovative in many domains, involving the </w:t>
      </w:r>
      <w:r w:rsidR="006C3178" w:rsidRPr="00CA5958">
        <w:rPr>
          <w:rFonts w:ascii="Times New Roman" w:hAnsi="Times New Roman" w:cs="Times New Roman"/>
          <w:lang w:val="en-AU"/>
        </w:rPr>
        <w:t>curriculum, th</w:t>
      </w:r>
      <w:r w:rsidR="008C03B2" w:rsidRPr="00CA5958">
        <w:rPr>
          <w:rFonts w:ascii="Times New Roman" w:hAnsi="Times New Roman" w:cs="Times New Roman"/>
          <w:lang w:val="en-AU"/>
        </w:rPr>
        <w:t xml:space="preserve">e </w:t>
      </w:r>
      <w:r w:rsidR="00D140A0" w:rsidRPr="00CA5958">
        <w:rPr>
          <w:rFonts w:ascii="Times New Roman" w:hAnsi="Times New Roman" w:cs="Times New Roman"/>
          <w:lang w:val="en-AU"/>
        </w:rPr>
        <w:t xml:space="preserve">school environment, and </w:t>
      </w:r>
      <w:r w:rsidR="006C3178" w:rsidRPr="00CA5958">
        <w:rPr>
          <w:rFonts w:ascii="Times New Roman" w:hAnsi="Times New Roman" w:cs="Times New Roman"/>
          <w:lang w:val="en-AU"/>
        </w:rPr>
        <w:t>the community</w:t>
      </w:r>
      <w:r w:rsidR="00FE0E81" w:rsidRPr="00CA5958">
        <w:rPr>
          <w:rFonts w:ascii="Times New Roman" w:hAnsi="Times New Roman" w:cs="Times New Roman"/>
          <w:lang w:val="en-AU"/>
        </w:rPr>
        <w:t xml:space="preserve"> (WHO, 2006). </w:t>
      </w:r>
      <w:r w:rsidR="009E3F7D" w:rsidRPr="00CA5958">
        <w:rPr>
          <w:rFonts w:ascii="Times New Roman" w:hAnsi="Times New Roman" w:cs="Times New Roman"/>
          <w:lang w:val="en-AU"/>
        </w:rPr>
        <w:t>This is a strength of the HSAK, as it</w:t>
      </w:r>
      <w:r w:rsidR="006C3178" w:rsidRPr="00CA5958">
        <w:rPr>
          <w:rFonts w:ascii="Times New Roman" w:hAnsi="Times New Roman" w:cs="Times New Roman"/>
          <w:lang w:val="en-AU"/>
        </w:rPr>
        <w:t xml:space="preserve"> is implemented in schools and applies the Ottawa Charter </w:t>
      </w:r>
      <w:commentRangeStart w:id="12"/>
      <w:r w:rsidR="006C3178" w:rsidRPr="00CA5958">
        <w:rPr>
          <w:rFonts w:ascii="Times New Roman" w:hAnsi="Times New Roman" w:cs="Times New Roman"/>
          <w:lang w:val="en-AU"/>
        </w:rPr>
        <w:t>ac</w:t>
      </w:r>
      <w:r w:rsidR="00D140A0" w:rsidRPr="00CA5958">
        <w:rPr>
          <w:rFonts w:ascii="Times New Roman" w:hAnsi="Times New Roman" w:cs="Times New Roman"/>
          <w:lang w:val="en-AU"/>
        </w:rPr>
        <w:t>tion</w:t>
      </w:r>
      <w:commentRangeEnd w:id="12"/>
      <w:r w:rsidR="00121138">
        <w:rPr>
          <w:rStyle w:val="CommentReference"/>
        </w:rPr>
        <w:commentReference w:id="12"/>
      </w:r>
      <w:r w:rsidR="00D140A0" w:rsidRPr="00CA5958">
        <w:rPr>
          <w:rFonts w:ascii="Times New Roman" w:hAnsi="Times New Roman" w:cs="Times New Roman"/>
          <w:lang w:val="en-AU"/>
        </w:rPr>
        <w:t xml:space="preserve"> areas to health promotion, which emphasize strengthening community action and creating supportive environments. </w:t>
      </w:r>
      <w:r w:rsidR="006C3178" w:rsidRPr="00CA5958">
        <w:rPr>
          <w:rFonts w:ascii="Times New Roman" w:hAnsi="Times New Roman" w:cs="Times New Roman"/>
          <w:lang w:val="en-AU"/>
        </w:rPr>
        <w:t xml:space="preserve">As a result, it </w:t>
      </w:r>
      <w:r w:rsidR="009E3F7D" w:rsidRPr="00CA5958">
        <w:rPr>
          <w:rFonts w:ascii="Times New Roman" w:hAnsi="Times New Roman" w:cs="Times New Roman"/>
          <w:lang w:val="en-AU"/>
        </w:rPr>
        <w:t xml:space="preserve">engages </w:t>
      </w:r>
      <w:r w:rsidR="00037B8F" w:rsidRPr="00CA5958">
        <w:rPr>
          <w:rFonts w:ascii="Times New Roman" w:hAnsi="Times New Roman" w:cs="Times New Roman"/>
          <w:lang w:val="en-AU"/>
        </w:rPr>
        <w:t>members of the</w:t>
      </w:r>
      <w:r>
        <w:rPr>
          <w:rFonts w:ascii="Times New Roman" w:hAnsi="Times New Roman" w:cs="Times New Roman"/>
          <w:lang w:val="en-AU"/>
        </w:rPr>
        <w:t xml:space="preserve"> local community, and also </w:t>
      </w:r>
      <w:r w:rsidR="008C03B2" w:rsidRPr="00CA5958">
        <w:rPr>
          <w:rFonts w:ascii="Times New Roman" w:hAnsi="Times New Roman" w:cs="Times New Roman"/>
          <w:lang w:val="en-AU"/>
        </w:rPr>
        <w:t>implements health promotion</w:t>
      </w:r>
      <w:r w:rsidR="006C3178" w:rsidRPr="00CA5958">
        <w:rPr>
          <w:rFonts w:ascii="Times New Roman" w:hAnsi="Times New Roman" w:cs="Times New Roman"/>
          <w:lang w:val="en-AU"/>
        </w:rPr>
        <w:t xml:space="preserve"> in the curriculum and influences the </w:t>
      </w:r>
      <w:r>
        <w:rPr>
          <w:rFonts w:ascii="Times New Roman" w:hAnsi="Times New Roman" w:cs="Times New Roman"/>
          <w:lang w:val="en-AU"/>
        </w:rPr>
        <w:t xml:space="preserve">physical </w:t>
      </w:r>
      <w:r w:rsidR="006C3178" w:rsidRPr="00CA5958">
        <w:rPr>
          <w:rFonts w:ascii="Times New Roman" w:hAnsi="Times New Roman" w:cs="Times New Roman"/>
          <w:lang w:val="en-AU"/>
        </w:rPr>
        <w:t>school environment.</w:t>
      </w:r>
      <w:r w:rsidR="009E3F7D" w:rsidRPr="00CA5958">
        <w:rPr>
          <w:rFonts w:ascii="Times New Roman" w:hAnsi="Times New Roman" w:cs="Times New Roman"/>
          <w:lang w:val="en-AU"/>
        </w:rPr>
        <w:t xml:space="preserve"> </w:t>
      </w:r>
    </w:p>
    <w:p w14:paraId="0ACC1DCC" w14:textId="538B6568" w:rsidR="008C03B2" w:rsidRPr="00CA5958" w:rsidRDefault="009E3F7D" w:rsidP="00185947">
      <w:pPr>
        <w:spacing w:line="480" w:lineRule="auto"/>
        <w:ind w:firstLine="720"/>
        <w:rPr>
          <w:rFonts w:ascii="Times New Roman" w:hAnsi="Times New Roman" w:cs="Times New Roman"/>
          <w:lang w:val="en-AU"/>
        </w:rPr>
      </w:pPr>
      <w:r w:rsidRPr="00CA5958">
        <w:rPr>
          <w:rFonts w:ascii="Times New Roman" w:hAnsi="Times New Roman" w:cs="Times New Roman"/>
          <w:lang w:val="en-AU"/>
        </w:rPr>
        <w:t>Research also suggests that adults who undertook school-based physical activity are significantly more active as</w:t>
      </w:r>
      <w:r w:rsidR="00FE0E81" w:rsidRPr="00CA5958">
        <w:rPr>
          <w:rFonts w:ascii="Times New Roman" w:hAnsi="Times New Roman" w:cs="Times New Roman"/>
          <w:lang w:val="en-AU"/>
        </w:rPr>
        <w:t xml:space="preserve"> adults than those wh</w:t>
      </w:r>
      <w:r w:rsidR="008676D5">
        <w:rPr>
          <w:rFonts w:ascii="Times New Roman" w:hAnsi="Times New Roman" w:cs="Times New Roman"/>
          <w:lang w:val="en-AU"/>
        </w:rPr>
        <w:t>o did not</w:t>
      </w:r>
      <w:r w:rsidR="00FE0E81" w:rsidRPr="00CA5958">
        <w:rPr>
          <w:rFonts w:ascii="Times New Roman" w:hAnsi="Times New Roman" w:cs="Times New Roman"/>
          <w:lang w:val="en-AU"/>
        </w:rPr>
        <w:t xml:space="preserve">. </w:t>
      </w:r>
      <w:r w:rsidRPr="00CA5958">
        <w:rPr>
          <w:rFonts w:ascii="Times New Roman" w:hAnsi="Times New Roman" w:cs="Times New Roman"/>
          <w:lang w:val="en-AU"/>
        </w:rPr>
        <w:t xml:space="preserve">The HPS model has also </w:t>
      </w:r>
      <w:r w:rsidR="007F4917" w:rsidRPr="00CA5958">
        <w:rPr>
          <w:rFonts w:ascii="Times New Roman" w:hAnsi="Times New Roman" w:cs="Times New Roman"/>
          <w:lang w:val="en-AU"/>
        </w:rPr>
        <w:t>been shown to be more effective at addressing the issue of physical activity than the curriculum-based approach, and as a result, addressin</w:t>
      </w:r>
      <w:r w:rsidR="00FE0E81" w:rsidRPr="00CA5958">
        <w:rPr>
          <w:rFonts w:ascii="Times New Roman" w:hAnsi="Times New Roman" w:cs="Times New Roman"/>
          <w:lang w:val="en-AU"/>
        </w:rPr>
        <w:t xml:space="preserve">g the overweight/obesity issue. </w:t>
      </w:r>
      <w:r w:rsidR="008C03B2" w:rsidRPr="00CA5958">
        <w:rPr>
          <w:rFonts w:ascii="Times New Roman" w:hAnsi="Times New Roman" w:cs="Times New Roman"/>
          <w:lang w:val="en-AU"/>
        </w:rPr>
        <w:t xml:space="preserve">Evidence suggests that school </w:t>
      </w:r>
      <w:r w:rsidR="007F4917" w:rsidRPr="00CA5958">
        <w:rPr>
          <w:rFonts w:ascii="Times New Roman" w:hAnsi="Times New Roman" w:cs="Times New Roman"/>
          <w:lang w:val="en-AU"/>
        </w:rPr>
        <w:t xml:space="preserve">is also an effective environment to promote healthy eating, as students consume </w:t>
      </w:r>
      <w:r w:rsidR="007F4917" w:rsidRPr="00CA5958">
        <w:rPr>
          <w:rFonts w:ascii="Times New Roman" w:hAnsi="Times New Roman" w:cs="Times New Roman"/>
          <w:lang w:val="en-AU"/>
        </w:rPr>
        <w:lastRenderedPageBreak/>
        <w:t xml:space="preserve">over one-third of their daily energy intake at school, and a framework approach such as </w:t>
      </w:r>
      <w:r w:rsidR="00FE0E81" w:rsidRPr="00CA5958">
        <w:rPr>
          <w:rFonts w:ascii="Times New Roman" w:hAnsi="Times New Roman" w:cs="Times New Roman"/>
          <w:lang w:val="en-AU"/>
        </w:rPr>
        <w:t>HPS appears to wor</w:t>
      </w:r>
      <w:r w:rsidR="008C03B2" w:rsidRPr="00CA5958">
        <w:rPr>
          <w:rFonts w:ascii="Times New Roman" w:hAnsi="Times New Roman" w:cs="Times New Roman"/>
          <w:lang w:val="en-AU"/>
        </w:rPr>
        <w:t xml:space="preserve">k best (Bell &amp; Swinburn, 2004). </w:t>
      </w:r>
      <w:r w:rsidR="007F4917" w:rsidRPr="00CA5958">
        <w:rPr>
          <w:rFonts w:ascii="Times New Roman" w:hAnsi="Times New Roman" w:cs="Times New Roman"/>
          <w:lang w:val="en-AU"/>
        </w:rPr>
        <w:t xml:space="preserve">This provides support for the efficacy of the HSAK, as it addresses the issues of physical </w:t>
      </w:r>
      <w:r w:rsidR="00D140A0" w:rsidRPr="00CA5958">
        <w:rPr>
          <w:rFonts w:ascii="Times New Roman" w:hAnsi="Times New Roman" w:cs="Times New Roman"/>
          <w:lang w:val="en-AU"/>
        </w:rPr>
        <w:t xml:space="preserve">activity and </w:t>
      </w:r>
      <w:r w:rsidR="007F4917" w:rsidRPr="00CA5958">
        <w:rPr>
          <w:rFonts w:ascii="Times New Roman" w:hAnsi="Times New Roman" w:cs="Times New Roman"/>
          <w:lang w:val="en-AU"/>
        </w:rPr>
        <w:t>he</w:t>
      </w:r>
      <w:r w:rsidR="00D140A0" w:rsidRPr="00CA5958">
        <w:rPr>
          <w:rFonts w:ascii="Times New Roman" w:hAnsi="Times New Roman" w:cs="Times New Roman"/>
          <w:lang w:val="en-AU"/>
        </w:rPr>
        <w:t xml:space="preserve">althy eating </w:t>
      </w:r>
      <w:r w:rsidR="007F4917" w:rsidRPr="00CA5958">
        <w:rPr>
          <w:rFonts w:ascii="Times New Roman" w:hAnsi="Times New Roman" w:cs="Times New Roman"/>
          <w:lang w:val="en-AU"/>
        </w:rPr>
        <w:t>in the school environment of remote communities s</w:t>
      </w:r>
      <w:r w:rsidR="00037B8F" w:rsidRPr="00CA5958">
        <w:rPr>
          <w:rFonts w:ascii="Times New Roman" w:hAnsi="Times New Roman" w:cs="Times New Roman"/>
          <w:lang w:val="en-AU"/>
        </w:rPr>
        <w:t>uch as Alice Springs, leading to better health outcomes.</w:t>
      </w:r>
      <w:r w:rsidR="00D140A0" w:rsidRPr="00CA5958">
        <w:rPr>
          <w:rFonts w:ascii="Times New Roman" w:hAnsi="Times New Roman" w:cs="Times New Roman"/>
          <w:lang w:val="en-AU"/>
        </w:rPr>
        <w:t xml:space="preserve"> </w:t>
      </w:r>
      <w:r w:rsidR="008C03B2" w:rsidRPr="00CA5958">
        <w:rPr>
          <w:rFonts w:ascii="Times New Roman" w:hAnsi="Times New Roman" w:cs="Times New Roman"/>
          <w:lang w:val="en-AU"/>
        </w:rPr>
        <w:t xml:space="preserve">A recent systematic review of the effectiveness of the HPS model also found that it was effective at reducing BMI and increasing physical activity, as well as reducing smoking, </w:t>
      </w:r>
      <w:r w:rsidR="00D140A0" w:rsidRPr="00CA5958">
        <w:rPr>
          <w:rFonts w:ascii="Times New Roman" w:hAnsi="Times New Roman" w:cs="Times New Roman"/>
          <w:lang w:val="en-AU"/>
        </w:rPr>
        <w:t xml:space="preserve">however, a weakness was that </w:t>
      </w:r>
      <w:r w:rsidR="008C03B2" w:rsidRPr="00CA5958">
        <w:rPr>
          <w:rFonts w:ascii="Times New Roman" w:hAnsi="Times New Roman" w:cs="Times New Roman"/>
          <w:lang w:val="en-AU"/>
        </w:rPr>
        <w:t>no evidence suggested that it was effective at reducing alcohol use, fat intake, drug use, violence, depression, or bullying of others (</w:t>
      </w:r>
      <w:r w:rsidR="008676D5">
        <w:rPr>
          <w:rFonts w:ascii="Times New Roman" w:hAnsi="Times New Roman" w:cs="Times New Roman"/>
          <w:lang w:val="en-AU"/>
        </w:rPr>
        <w:t>Langford et al.</w:t>
      </w:r>
      <w:r w:rsidR="008C03B2" w:rsidRPr="00CA5958">
        <w:rPr>
          <w:rFonts w:ascii="Times New Roman" w:hAnsi="Times New Roman" w:cs="Times New Roman"/>
          <w:lang w:val="en-AU"/>
        </w:rPr>
        <w:t>, 2015).</w:t>
      </w:r>
    </w:p>
    <w:p w14:paraId="152A1BBE" w14:textId="0FCB3E17" w:rsidR="00FE0E81" w:rsidRPr="00CA5958" w:rsidRDefault="008C03B2" w:rsidP="00185947">
      <w:pPr>
        <w:spacing w:line="480" w:lineRule="auto"/>
        <w:ind w:firstLine="720"/>
        <w:rPr>
          <w:rFonts w:ascii="Times New Roman" w:hAnsi="Times New Roman" w:cs="Times New Roman"/>
          <w:lang w:val="en-AU"/>
        </w:rPr>
      </w:pPr>
      <w:r w:rsidRPr="00CA5958">
        <w:rPr>
          <w:rFonts w:ascii="Times New Roman" w:hAnsi="Times New Roman" w:cs="Times New Roman"/>
          <w:lang w:val="en-AU"/>
        </w:rPr>
        <w:t xml:space="preserve">Another </w:t>
      </w:r>
      <w:r w:rsidR="00E407D3" w:rsidRPr="00CA5958">
        <w:rPr>
          <w:rFonts w:ascii="Times New Roman" w:hAnsi="Times New Roman" w:cs="Times New Roman"/>
          <w:lang w:val="en-AU"/>
        </w:rPr>
        <w:t xml:space="preserve">weakness of the HSAK </w:t>
      </w:r>
      <w:r w:rsidR="00525C25" w:rsidRPr="00CA5958">
        <w:rPr>
          <w:rFonts w:ascii="Times New Roman" w:hAnsi="Times New Roman" w:cs="Times New Roman"/>
          <w:lang w:val="en-AU"/>
        </w:rPr>
        <w:t>is that some aspects</w:t>
      </w:r>
      <w:r w:rsidR="00E407D3" w:rsidRPr="00CA5958">
        <w:rPr>
          <w:rFonts w:ascii="Times New Roman" w:hAnsi="Times New Roman" w:cs="Times New Roman"/>
          <w:lang w:val="en-AU"/>
        </w:rPr>
        <w:t xml:space="preserve"> of the school-aged health check</w:t>
      </w:r>
      <w:r w:rsidR="00525C25" w:rsidRPr="00CA5958">
        <w:rPr>
          <w:rFonts w:ascii="Times New Roman" w:hAnsi="Times New Roman" w:cs="Times New Roman"/>
          <w:lang w:val="en-AU"/>
        </w:rPr>
        <w:t xml:space="preserve"> do not have a good evidence base for their efficacy. </w:t>
      </w:r>
      <w:r w:rsidR="007A5F5C" w:rsidRPr="00CA5958">
        <w:rPr>
          <w:rFonts w:ascii="Times New Roman" w:hAnsi="Times New Roman" w:cs="Times New Roman"/>
          <w:lang w:val="en-AU"/>
        </w:rPr>
        <w:t xml:space="preserve">A systematic review of the evidence for the efficacy of child health screening by the National Health and Medical Research </w:t>
      </w:r>
      <w:commentRangeStart w:id="13"/>
      <w:r w:rsidR="007A5F5C" w:rsidRPr="00CA5958">
        <w:rPr>
          <w:rFonts w:ascii="Times New Roman" w:hAnsi="Times New Roman" w:cs="Times New Roman"/>
          <w:lang w:val="en-AU"/>
        </w:rPr>
        <w:t>Council</w:t>
      </w:r>
      <w:commentRangeEnd w:id="13"/>
      <w:r w:rsidR="00121138">
        <w:rPr>
          <w:rStyle w:val="CommentReference"/>
        </w:rPr>
        <w:commentReference w:id="13"/>
      </w:r>
      <w:r w:rsidR="007A5F5C" w:rsidRPr="00CA5958">
        <w:rPr>
          <w:rFonts w:ascii="Times New Roman" w:hAnsi="Times New Roman" w:cs="Times New Roman"/>
          <w:lang w:val="en-AU"/>
        </w:rPr>
        <w:t xml:space="preserve"> (NMHCR) found that very few health issues could be recommended for screening. </w:t>
      </w:r>
      <w:r w:rsidR="00D140A0" w:rsidRPr="00CA5958">
        <w:rPr>
          <w:rFonts w:ascii="Times New Roman" w:hAnsi="Times New Roman" w:cs="Times New Roman"/>
          <w:lang w:val="en-AU"/>
        </w:rPr>
        <w:t xml:space="preserve">It </w:t>
      </w:r>
      <w:r w:rsidR="00E407D3" w:rsidRPr="00CA5958">
        <w:rPr>
          <w:rFonts w:ascii="Times New Roman" w:hAnsi="Times New Roman" w:cs="Times New Roman"/>
          <w:lang w:val="en-AU"/>
        </w:rPr>
        <w:t xml:space="preserve">found that stand-alone measures of height and weight are useful when calculating body mass index (BMI), which is a typical estimate of overweightness and obesity, however, </w:t>
      </w:r>
      <w:r w:rsidR="00D140A0" w:rsidRPr="00CA5958">
        <w:rPr>
          <w:rFonts w:ascii="Times New Roman" w:hAnsi="Times New Roman" w:cs="Times New Roman"/>
          <w:lang w:val="en-AU"/>
        </w:rPr>
        <w:t>this</w:t>
      </w:r>
      <w:r w:rsidR="00E407D3" w:rsidRPr="00CA5958">
        <w:rPr>
          <w:rFonts w:ascii="Times New Roman" w:hAnsi="Times New Roman" w:cs="Times New Roman"/>
          <w:lang w:val="en-AU"/>
        </w:rPr>
        <w:t xml:space="preserve"> measure </w:t>
      </w:r>
      <w:r w:rsidR="00D140A0" w:rsidRPr="00CA5958">
        <w:rPr>
          <w:rFonts w:ascii="Times New Roman" w:hAnsi="Times New Roman" w:cs="Times New Roman"/>
          <w:lang w:val="en-AU"/>
        </w:rPr>
        <w:t xml:space="preserve">did not appear to </w:t>
      </w:r>
      <w:r w:rsidR="00E407D3" w:rsidRPr="00CA5958">
        <w:rPr>
          <w:rFonts w:ascii="Times New Roman" w:hAnsi="Times New Roman" w:cs="Times New Roman"/>
          <w:lang w:val="en-AU"/>
        </w:rPr>
        <w:t>result in health benefits</w:t>
      </w:r>
      <w:r w:rsidR="00D140A0" w:rsidRPr="00CA5958">
        <w:rPr>
          <w:rFonts w:ascii="Times New Roman" w:hAnsi="Times New Roman" w:cs="Times New Roman"/>
          <w:lang w:val="en-AU"/>
        </w:rPr>
        <w:t>.</w:t>
      </w:r>
      <w:r w:rsidR="00E407D3" w:rsidRPr="00CA5958">
        <w:rPr>
          <w:rFonts w:ascii="Times New Roman" w:hAnsi="Times New Roman" w:cs="Times New Roman"/>
          <w:lang w:val="en-AU"/>
        </w:rPr>
        <w:t xml:space="preserve"> </w:t>
      </w:r>
      <w:r w:rsidR="00525C25" w:rsidRPr="00CA5958">
        <w:rPr>
          <w:rFonts w:ascii="Times New Roman" w:hAnsi="Times New Roman" w:cs="Times New Roman"/>
          <w:lang w:val="en-AU"/>
        </w:rPr>
        <w:t xml:space="preserve">There </w:t>
      </w:r>
      <w:r w:rsidR="00834D2F" w:rsidRPr="00CA5958">
        <w:rPr>
          <w:rFonts w:ascii="Times New Roman" w:hAnsi="Times New Roman" w:cs="Times New Roman"/>
          <w:lang w:val="en-AU"/>
        </w:rPr>
        <w:t>was</w:t>
      </w:r>
      <w:r w:rsidR="00525C25" w:rsidRPr="00CA5958">
        <w:rPr>
          <w:rFonts w:ascii="Times New Roman" w:hAnsi="Times New Roman" w:cs="Times New Roman"/>
          <w:lang w:val="en-AU"/>
        </w:rPr>
        <w:t xml:space="preserve"> also no evidence that screening for visual impairment leads to improved visual acuity, compared with no screeni</w:t>
      </w:r>
      <w:r w:rsidR="007A5F5C" w:rsidRPr="00CA5958">
        <w:rPr>
          <w:rFonts w:ascii="Times New Roman" w:hAnsi="Times New Roman" w:cs="Times New Roman"/>
          <w:lang w:val="en-AU"/>
        </w:rPr>
        <w:t>ng</w:t>
      </w:r>
      <w:r w:rsidR="004F4E30" w:rsidRPr="00CA5958">
        <w:rPr>
          <w:rFonts w:ascii="Times New Roman" w:hAnsi="Times New Roman" w:cs="Times New Roman"/>
          <w:lang w:val="en-AU"/>
        </w:rPr>
        <w:t>, and insufficient evidence to recommend o</w:t>
      </w:r>
      <w:r w:rsidR="007A5F5C" w:rsidRPr="00CA5958">
        <w:rPr>
          <w:rFonts w:ascii="Times New Roman" w:hAnsi="Times New Roman" w:cs="Times New Roman"/>
          <w:lang w:val="en-AU"/>
        </w:rPr>
        <w:t>ral he</w:t>
      </w:r>
      <w:r w:rsidR="00F00F1B">
        <w:rPr>
          <w:rFonts w:ascii="Times New Roman" w:hAnsi="Times New Roman" w:cs="Times New Roman"/>
          <w:lang w:val="en-AU"/>
        </w:rPr>
        <w:t>alth screening (</w:t>
      </w:r>
      <w:proofErr w:type="spellStart"/>
      <w:r w:rsidR="00F00F1B">
        <w:rPr>
          <w:rFonts w:ascii="Times New Roman" w:hAnsi="Times New Roman" w:cs="Times New Roman"/>
          <w:lang w:val="en-AU"/>
        </w:rPr>
        <w:t>Oberklaid</w:t>
      </w:r>
      <w:proofErr w:type="spellEnd"/>
      <w:r w:rsidR="007A5F5C" w:rsidRPr="00CA5958">
        <w:rPr>
          <w:rFonts w:ascii="Times New Roman" w:hAnsi="Times New Roman" w:cs="Times New Roman"/>
          <w:lang w:val="en-AU"/>
        </w:rPr>
        <w:t>,</w:t>
      </w:r>
      <w:r w:rsidR="00F00F1B">
        <w:rPr>
          <w:rFonts w:ascii="Times New Roman" w:hAnsi="Times New Roman" w:cs="Times New Roman"/>
          <w:lang w:val="en-AU"/>
        </w:rPr>
        <w:t xml:space="preserve"> Wake, Harris, </w:t>
      </w:r>
      <w:proofErr w:type="spellStart"/>
      <w:r w:rsidR="00F00F1B">
        <w:rPr>
          <w:rFonts w:ascii="Times New Roman" w:hAnsi="Times New Roman" w:cs="Times New Roman"/>
          <w:lang w:val="en-AU"/>
        </w:rPr>
        <w:t>Hesketh</w:t>
      </w:r>
      <w:proofErr w:type="spellEnd"/>
      <w:r w:rsidR="00F00F1B">
        <w:rPr>
          <w:rFonts w:ascii="Times New Roman" w:hAnsi="Times New Roman" w:cs="Times New Roman"/>
          <w:lang w:val="en-AU"/>
        </w:rPr>
        <w:t>, &amp; Wright,</w:t>
      </w:r>
      <w:r w:rsidR="007A5F5C" w:rsidRPr="00CA5958">
        <w:rPr>
          <w:rFonts w:ascii="Times New Roman" w:hAnsi="Times New Roman" w:cs="Times New Roman"/>
          <w:lang w:val="en-AU"/>
        </w:rPr>
        <w:t xml:space="preserve"> 2002)</w:t>
      </w:r>
      <w:r w:rsidR="004F4E30" w:rsidRPr="00CA5958">
        <w:rPr>
          <w:rFonts w:ascii="Times New Roman" w:hAnsi="Times New Roman" w:cs="Times New Roman"/>
          <w:lang w:val="en-AU"/>
        </w:rPr>
        <w:t xml:space="preserve">. However, </w:t>
      </w:r>
      <w:r w:rsidR="00834D2F" w:rsidRPr="00CA5958">
        <w:rPr>
          <w:rFonts w:ascii="Times New Roman" w:hAnsi="Times New Roman" w:cs="Times New Roman"/>
          <w:lang w:val="en-AU"/>
        </w:rPr>
        <w:t xml:space="preserve">it found that </w:t>
      </w:r>
      <w:r w:rsidR="004F4E30" w:rsidRPr="00CA5958">
        <w:rPr>
          <w:rFonts w:ascii="Times New Roman" w:hAnsi="Times New Roman" w:cs="Times New Roman"/>
          <w:lang w:val="en-AU"/>
        </w:rPr>
        <w:t>screening for eye infections suc</w:t>
      </w:r>
      <w:r w:rsidR="00834D2F" w:rsidRPr="00CA5958">
        <w:rPr>
          <w:rFonts w:ascii="Times New Roman" w:hAnsi="Times New Roman" w:cs="Times New Roman"/>
          <w:lang w:val="en-AU"/>
        </w:rPr>
        <w:t xml:space="preserve">h as trachoma was </w:t>
      </w:r>
      <w:r w:rsidR="004F4E30" w:rsidRPr="00CA5958">
        <w:rPr>
          <w:rFonts w:ascii="Times New Roman" w:hAnsi="Times New Roman" w:cs="Times New Roman"/>
          <w:lang w:val="en-AU"/>
        </w:rPr>
        <w:t xml:space="preserve">effective in </w:t>
      </w:r>
      <w:r w:rsidR="00834D2F" w:rsidRPr="00CA5958">
        <w:rPr>
          <w:rFonts w:ascii="Times New Roman" w:hAnsi="Times New Roman" w:cs="Times New Roman"/>
          <w:lang w:val="en-AU"/>
        </w:rPr>
        <w:t>Aboriginal</w:t>
      </w:r>
      <w:r w:rsidR="004F4E30" w:rsidRPr="00CA5958">
        <w:rPr>
          <w:rFonts w:ascii="Times New Roman" w:hAnsi="Times New Roman" w:cs="Times New Roman"/>
          <w:lang w:val="en-AU"/>
        </w:rPr>
        <w:t xml:space="preserve"> communities of Australia such as Alice Spri</w:t>
      </w:r>
      <w:r w:rsidR="00834D2F" w:rsidRPr="00CA5958">
        <w:rPr>
          <w:rFonts w:ascii="Times New Roman" w:hAnsi="Times New Roman" w:cs="Times New Roman"/>
          <w:lang w:val="en-AU"/>
        </w:rPr>
        <w:t xml:space="preserve">ngs, and pneumatic otoscopy was </w:t>
      </w:r>
      <w:r w:rsidR="004F4E30" w:rsidRPr="00CA5958">
        <w:rPr>
          <w:rFonts w:ascii="Times New Roman" w:hAnsi="Times New Roman" w:cs="Times New Roman"/>
          <w:lang w:val="en-AU"/>
        </w:rPr>
        <w:t xml:space="preserve">effective at identifying otitis media in </w:t>
      </w:r>
      <w:r w:rsidR="00C155D0">
        <w:rPr>
          <w:rFonts w:ascii="Times New Roman" w:hAnsi="Times New Roman" w:cs="Times New Roman"/>
          <w:lang w:val="en-AU"/>
        </w:rPr>
        <w:t xml:space="preserve">Aboriginal </w:t>
      </w:r>
      <w:r w:rsidR="004F4E30" w:rsidRPr="00CA5958">
        <w:rPr>
          <w:rFonts w:ascii="Times New Roman" w:hAnsi="Times New Roman" w:cs="Times New Roman"/>
          <w:lang w:val="en-AU"/>
        </w:rPr>
        <w:t>Australian children (</w:t>
      </w:r>
      <w:proofErr w:type="spellStart"/>
      <w:r w:rsidR="004F4E30" w:rsidRPr="00CA5958">
        <w:rPr>
          <w:rFonts w:ascii="Times New Roman" w:hAnsi="Times New Roman" w:cs="Times New Roman"/>
          <w:lang w:val="en-AU"/>
        </w:rPr>
        <w:t>Oberklaid</w:t>
      </w:r>
      <w:proofErr w:type="spellEnd"/>
      <w:r w:rsidR="00F00F1B">
        <w:rPr>
          <w:rFonts w:ascii="Times New Roman" w:hAnsi="Times New Roman" w:cs="Times New Roman"/>
          <w:lang w:val="en-AU"/>
        </w:rPr>
        <w:t xml:space="preserve">, Wake, Harris, </w:t>
      </w:r>
      <w:proofErr w:type="spellStart"/>
      <w:r w:rsidR="00F00F1B">
        <w:rPr>
          <w:rFonts w:ascii="Times New Roman" w:hAnsi="Times New Roman" w:cs="Times New Roman"/>
          <w:lang w:val="en-AU"/>
        </w:rPr>
        <w:t>Hesketh</w:t>
      </w:r>
      <w:proofErr w:type="spellEnd"/>
      <w:r w:rsidR="007A5F5C" w:rsidRPr="00CA5958">
        <w:rPr>
          <w:rFonts w:ascii="Times New Roman" w:hAnsi="Times New Roman" w:cs="Times New Roman"/>
          <w:lang w:val="en-AU"/>
        </w:rPr>
        <w:t>)</w:t>
      </w:r>
      <w:r w:rsidR="004F4E30" w:rsidRPr="00CA5958">
        <w:rPr>
          <w:rFonts w:ascii="Times New Roman" w:hAnsi="Times New Roman" w:cs="Times New Roman"/>
          <w:lang w:val="en-AU"/>
        </w:rPr>
        <w:t>.</w:t>
      </w:r>
      <w:r w:rsidR="007A5F5C" w:rsidRPr="00CA5958">
        <w:rPr>
          <w:rFonts w:ascii="Times New Roman" w:hAnsi="Times New Roman" w:cs="Times New Roman"/>
          <w:lang w:val="en-AU"/>
        </w:rPr>
        <w:t xml:space="preserve"> These are also strengths of the HSAK, as the school-aged health check screens for these issues. </w:t>
      </w:r>
    </w:p>
    <w:p w14:paraId="17CA7BF9" w14:textId="3F1C77D9" w:rsidR="0037346B" w:rsidRPr="00CA5958" w:rsidRDefault="0037346B" w:rsidP="00185947">
      <w:pPr>
        <w:spacing w:line="480" w:lineRule="auto"/>
        <w:ind w:firstLine="720"/>
        <w:rPr>
          <w:rFonts w:ascii="Times New Roman" w:hAnsi="Times New Roman" w:cs="Times New Roman"/>
          <w:lang w:val="en-AU"/>
        </w:rPr>
      </w:pPr>
      <w:r w:rsidRPr="00CA5958">
        <w:rPr>
          <w:rFonts w:ascii="Times New Roman" w:hAnsi="Times New Roman" w:cs="Times New Roman"/>
          <w:lang w:val="en-AU"/>
        </w:rPr>
        <w:t xml:space="preserve">Another potential weakness of the HSAK is that it teaches </w:t>
      </w:r>
      <w:r w:rsidR="00834D2F" w:rsidRPr="00CA5958">
        <w:rPr>
          <w:rFonts w:ascii="Times New Roman" w:hAnsi="Times New Roman" w:cs="Times New Roman"/>
          <w:lang w:val="en-AU"/>
        </w:rPr>
        <w:t>Aboriginal</w:t>
      </w:r>
      <w:r w:rsidRPr="00CA5958">
        <w:rPr>
          <w:rFonts w:ascii="Times New Roman" w:hAnsi="Times New Roman" w:cs="Times New Roman"/>
          <w:lang w:val="en-AU"/>
        </w:rPr>
        <w:t xml:space="preserve"> Australian children the traditional and Western ways of staying healthy and preventing sickness, while </w:t>
      </w:r>
      <w:commentRangeStart w:id="14"/>
      <w:r w:rsidRPr="00CA5958">
        <w:rPr>
          <w:rFonts w:ascii="Times New Roman" w:hAnsi="Times New Roman" w:cs="Times New Roman"/>
          <w:lang w:val="en-AU"/>
        </w:rPr>
        <w:t>failing</w:t>
      </w:r>
      <w:commentRangeEnd w:id="14"/>
      <w:r w:rsidR="00121138">
        <w:rPr>
          <w:rStyle w:val="CommentReference"/>
        </w:rPr>
        <w:commentReference w:id="14"/>
      </w:r>
      <w:r w:rsidRPr="00CA5958">
        <w:rPr>
          <w:rFonts w:ascii="Times New Roman" w:hAnsi="Times New Roman" w:cs="Times New Roman"/>
          <w:lang w:val="en-AU"/>
        </w:rPr>
        <w:t xml:space="preserve"> to take into </w:t>
      </w:r>
      <w:r w:rsidR="00BD31CB" w:rsidRPr="00CA5958">
        <w:rPr>
          <w:rFonts w:ascii="Times New Roman" w:hAnsi="Times New Roman" w:cs="Times New Roman"/>
          <w:lang w:val="en-AU"/>
        </w:rPr>
        <w:t>consideration</w:t>
      </w:r>
      <w:r w:rsidRPr="00CA5958">
        <w:rPr>
          <w:rFonts w:ascii="Times New Roman" w:hAnsi="Times New Roman" w:cs="Times New Roman"/>
          <w:lang w:val="en-AU"/>
        </w:rPr>
        <w:t xml:space="preserve"> the potential differing cultural practices </w:t>
      </w:r>
      <w:r w:rsidR="006B155C" w:rsidRPr="00CA5958">
        <w:rPr>
          <w:rFonts w:ascii="Times New Roman" w:hAnsi="Times New Roman" w:cs="Times New Roman"/>
          <w:lang w:val="en-AU"/>
        </w:rPr>
        <w:t xml:space="preserve">of health </w:t>
      </w:r>
      <w:r w:rsidR="00BD31CB" w:rsidRPr="00CA5958">
        <w:rPr>
          <w:rFonts w:ascii="Times New Roman" w:hAnsi="Times New Roman" w:cs="Times New Roman"/>
          <w:lang w:val="en-AU"/>
        </w:rPr>
        <w:t>found in</w:t>
      </w:r>
      <w:r w:rsidR="006B155C" w:rsidRPr="00CA5958">
        <w:rPr>
          <w:rFonts w:ascii="Times New Roman" w:hAnsi="Times New Roman" w:cs="Times New Roman"/>
          <w:lang w:val="en-AU"/>
        </w:rPr>
        <w:t xml:space="preserve"> </w:t>
      </w:r>
      <w:r w:rsidR="006B155C" w:rsidRPr="00CA5958">
        <w:rPr>
          <w:rFonts w:ascii="Times New Roman" w:hAnsi="Times New Roman" w:cs="Times New Roman"/>
          <w:lang w:val="en-AU"/>
        </w:rPr>
        <w:lastRenderedPageBreak/>
        <w:t xml:space="preserve">remote </w:t>
      </w:r>
      <w:r w:rsidR="00834D2F" w:rsidRPr="00CA5958">
        <w:rPr>
          <w:rFonts w:ascii="Times New Roman" w:hAnsi="Times New Roman" w:cs="Times New Roman"/>
          <w:lang w:val="en-AU"/>
        </w:rPr>
        <w:t>Aboriginal</w:t>
      </w:r>
      <w:r w:rsidR="006B155C" w:rsidRPr="00CA5958">
        <w:rPr>
          <w:rFonts w:ascii="Times New Roman" w:hAnsi="Times New Roman" w:cs="Times New Roman"/>
          <w:lang w:val="en-AU"/>
        </w:rPr>
        <w:t xml:space="preserve"> communities. Communities such as Alice Springs </w:t>
      </w:r>
      <w:r w:rsidR="00834D2F" w:rsidRPr="00CA5958">
        <w:rPr>
          <w:rFonts w:ascii="Times New Roman" w:hAnsi="Times New Roman" w:cs="Times New Roman"/>
          <w:lang w:val="en-AU"/>
        </w:rPr>
        <w:t xml:space="preserve">with a large Aboriginal population consist of people with differing cultural values, which influences their values and practices of health, and failing to recognize </w:t>
      </w:r>
      <w:r w:rsidR="00C155D0">
        <w:rPr>
          <w:rFonts w:ascii="Times New Roman" w:hAnsi="Times New Roman" w:cs="Times New Roman"/>
          <w:lang w:val="en-AU"/>
        </w:rPr>
        <w:t>these</w:t>
      </w:r>
      <w:r w:rsidR="00834D2F" w:rsidRPr="00CA5958">
        <w:rPr>
          <w:rFonts w:ascii="Times New Roman" w:hAnsi="Times New Roman" w:cs="Times New Roman"/>
          <w:lang w:val="en-AU"/>
        </w:rPr>
        <w:t xml:space="preserve"> threatens the cultural safety of the HSAK. </w:t>
      </w:r>
      <w:r w:rsidR="006B155C" w:rsidRPr="00CA5958">
        <w:rPr>
          <w:rFonts w:ascii="Times New Roman" w:hAnsi="Times New Roman" w:cs="Times New Roman"/>
          <w:lang w:val="en-AU"/>
        </w:rPr>
        <w:t xml:space="preserve">Cultural safety </w:t>
      </w:r>
      <w:r w:rsidR="00834D2F" w:rsidRPr="00CA5958">
        <w:rPr>
          <w:rFonts w:ascii="Times New Roman" w:hAnsi="Times New Roman" w:cs="Times New Roman"/>
          <w:lang w:val="en-AU"/>
        </w:rPr>
        <w:t>refers to the recognition and respect of</w:t>
      </w:r>
      <w:r w:rsidR="006B155C" w:rsidRPr="00CA5958">
        <w:rPr>
          <w:rFonts w:ascii="Times New Roman" w:hAnsi="Times New Roman" w:cs="Times New Roman"/>
          <w:lang w:val="en-AU"/>
        </w:rPr>
        <w:t xml:space="preserve"> differing cultural identities of others </w:t>
      </w:r>
      <w:r w:rsidR="00834D2F" w:rsidRPr="00CA5958">
        <w:rPr>
          <w:rFonts w:ascii="Times New Roman" w:hAnsi="Times New Roman" w:cs="Times New Roman"/>
          <w:lang w:val="en-AU"/>
        </w:rPr>
        <w:t xml:space="preserve">in the delivery of health services </w:t>
      </w:r>
      <w:r w:rsidR="006B155C" w:rsidRPr="00CA5958">
        <w:rPr>
          <w:rFonts w:ascii="Times New Roman" w:hAnsi="Times New Roman" w:cs="Times New Roman"/>
          <w:lang w:val="en-AU"/>
        </w:rPr>
        <w:t>(</w:t>
      </w:r>
      <w:r w:rsidR="00834D2F" w:rsidRPr="00CA5958">
        <w:rPr>
          <w:rFonts w:ascii="Times New Roman" w:hAnsi="Times New Roman" w:cs="Times New Roman"/>
          <w:lang w:val="en-AU"/>
        </w:rPr>
        <w:t>Nursing Council of New Zealand, 2002</w:t>
      </w:r>
      <w:r w:rsidR="006B155C" w:rsidRPr="00CA5958">
        <w:rPr>
          <w:rFonts w:ascii="Times New Roman" w:hAnsi="Times New Roman" w:cs="Times New Roman"/>
          <w:lang w:val="en-AU"/>
        </w:rPr>
        <w:t xml:space="preserve">), and teaching </w:t>
      </w:r>
      <w:r w:rsidR="00C155D0">
        <w:rPr>
          <w:rFonts w:ascii="Times New Roman" w:hAnsi="Times New Roman" w:cs="Times New Roman"/>
          <w:lang w:val="en-AU"/>
        </w:rPr>
        <w:t>Aboriginal</w:t>
      </w:r>
      <w:r w:rsidR="006B155C" w:rsidRPr="00CA5958">
        <w:rPr>
          <w:rFonts w:ascii="Times New Roman" w:hAnsi="Times New Roman" w:cs="Times New Roman"/>
          <w:lang w:val="en-AU"/>
        </w:rPr>
        <w:t xml:space="preserve"> children the Western ways does not recognize the differing cultural values and practices of health, and thus poses a threat to the cultural safety of the HSAK. </w:t>
      </w:r>
    </w:p>
    <w:p w14:paraId="03938BAA" w14:textId="3CFEA7E2" w:rsidR="00C2423A" w:rsidRDefault="00C2423A" w:rsidP="00185947">
      <w:pPr>
        <w:spacing w:line="480" w:lineRule="auto"/>
        <w:ind w:firstLine="720"/>
        <w:rPr>
          <w:lang w:val="en-AU"/>
        </w:rPr>
      </w:pPr>
      <w:r w:rsidRPr="00CA5958">
        <w:rPr>
          <w:rFonts w:ascii="Times New Roman" w:hAnsi="Times New Roman" w:cs="Times New Roman"/>
          <w:lang w:val="en-AU"/>
        </w:rPr>
        <w:t xml:space="preserve">Remoteness typically has </w:t>
      </w:r>
      <w:r w:rsidR="00CA5958">
        <w:rPr>
          <w:rFonts w:ascii="Times New Roman" w:hAnsi="Times New Roman" w:cs="Times New Roman"/>
          <w:lang w:val="en-AU"/>
        </w:rPr>
        <w:t xml:space="preserve">a detrimental effect on health </w:t>
      </w:r>
      <w:r w:rsidRPr="00CA5958">
        <w:rPr>
          <w:rFonts w:ascii="Times New Roman" w:hAnsi="Times New Roman" w:cs="Times New Roman"/>
          <w:lang w:val="en-AU"/>
        </w:rPr>
        <w:t xml:space="preserve">due to the social </w:t>
      </w:r>
      <w:commentRangeStart w:id="15"/>
      <w:r w:rsidRPr="00CA5958">
        <w:rPr>
          <w:rFonts w:ascii="Times New Roman" w:hAnsi="Times New Roman" w:cs="Times New Roman"/>
          <w:lang w:val="en-AU"/>
        </w:rPr>
        <w:t>determinants</w:t>
      </w:r>
      <w:commentRangeEnd w:id="15"/>
      <w:r w:rsidR="00995E11">
        <w:rPr>
          <w:rStyle w:val="CommentReference"/>
        </w:rPr>
        <w:commentReference w:id="15"/>
      </w:r>
      <w:r w:rsidRPr="00CA5958">
        <w:rPr>
          <w:rFonts w:ascii="Times New Roman" w:hAnsi="Times New Roman" w:cs="Times New Roman"/>
          <w:lang w:val="en-AU"/>
        </w:rPr>
        <w:t xml:space="preserve"> of health such as lower socioeconomic status and education, and poorer health infrastructure and access to healthcare services. This leads to poorer health outcomes for Aboriginal Australians, as they comprise a large part of the population in remote areas. However, the collectivist culture found in remote Aboriginal communities such as Alice Springs is a benefit to health, as people support and promote the health of one another. </w:t>
      </w:r>
      <w:r w:rsidR="00CA5958" w:rsidRPr="00CA5958">
        <w:rPr>
          <w:rFonts w:ascii="Times New Roman" w:hAnsi="Times New Roman" w:cs="Times New Roman"/>
          <w:lang w:val="en-AU"/>
        </w:rPr>
        <w:t>In order to be effective, h</w:t>
      </w:r>
      <w:r w:rsidRPr="00CA5958">
        <w:rPr>
          <w:rFonts w:ascii="Times New Roman" w:hAnsi="Times New Roman" w:cs="Times New Roman"/>
          <w:lang w:val="en-AU"/>
        </w:rPr>
        <w:t xml:space="preserve">ealth promotion initiatives in Alice Springs should </w:t>
      </w:r>
      <w:r w:rsidR="00CA5958" w:rsidRPr="00CA5958">
        <w:rPr>
          <w:rFonts w:ascii="Times New Roman" w:hAnsi="Times New Roman" w:cs="Times New Roman"/>
          <w:lang w:val="en-AU"/>
        </w:rPr>
        <w:t>be culturally safe by recognizing</w:t>
      </w:r>
      <w:r w:rsidRPr="00CA5958">
        <w:rPr>
          <w:rFonts w:ascii="Times New Roman" w:hAnsi="Times New Roman" w:cs="Times New Roman"/>
          <w:lang w:val="en-AU"/>
        </w:rPr>
        <w:t xml:space="preserve"> and </w:t>
      </w:r>
      <w:commentRangeStart w:id="16"/>
      <w:r w:rsidRPr="00CA5958">
        <w:rPr>
          <w:rFonts w:ascii="Times New Roman" w:hAnsi="Times New Roman" w:cs="Times New Roman"/>
          <w:lang w:val="en-AU"/>
        </w:rPr>
        <w:t>respect</w:t>
      </w:r>
      <w:r w:rsidR="00CA5958" w:rsidRPr="00CA5958">
        <w:rPr>
          <w:rFonts w:ascii="Times New Roman" w:hAnsi="Times New Roman" w:cs="Times New Roman"/>
          <w:lang w:val="en-AU"/>
        </w:rPr>
        <w:t>ing</w:t>
      </w:r>
      <w:commentRangeEnd w:id="16"/>
      <w:r w:rsidR="00995E11">
        <w:rPr>
          <w:rStyle w:val="CommentReference"/>
        </w:rPr>
        <w:commentReference w:id="16"/>
      </w:r>
      <w:r w:rsidR="00CA5958" w:rsidRPr="00CA5958">
        <w:rPr>
          <w:rFonts w:ascii="Times New Roman" w:hAnsi="Times New Roman" w:cs="Times New Roman"/>
          <w:lang w:val="en-AU"/>
        </w:rPr>
        <w:t xml:space="preserve"> the differing cultural values and practices of health</w:t>
      </w:r>
      <w:r w:rsidRPr="00CA5958">
        <w:rPr>
          <w:rFonts w:ascii="Times New Roman" w:hAnsi="Times New Roman" w:cs="Times New Roman"/>
          <w:lang w:val="en-AU"/>
        </w:rPr>
        <w:t xml:space="preserve"> </w:t>
      </w:r>
      <w:r w:rsidR="00CA5958" w:rsidRPr="00CA5958">
        <w:rPr>
          <w:rFonts w:ascii="Times New Roman" w:hAnsi="Times New Roman" w:cs="Times New Roman"/>
          <w:lang w:val="en-AU"/>
        </w:rPr>
        <w:t xml:space="preserve">in this community when implementing programs based on Western culture. </w:t>
      </w:r>
      <w:r w:rsidR="00185947">
        <w:rPr>
          <w:rFonts w:ascii="Times New Roman" w:hAnsi="Times New Roman" w:cs="Times New Roman"/>
          <w:lang w:val="en-AU"/>
        </w:rPr>
        <w:t xml:space="preserve">They should also signify </w:t>
      </w:r>
      <w:r w:rsidR="00CA5958" w:rsidRPr="00CA5958">
        <w:rPr>
          <w:rFonts w:ascii="Times New Roman" w:hAnsi="Times New Roman" w:cs="Times New Roman"/>
          <w:lang w:val="en-AU"/>
        </w:rPr>
        <w:t>the collectivist culture, as it is a benefit to health.</w:t>
      </w:r>
      <w:r w:rsidR="00CA5958">
        <w:rPr>
          <w:lang w:val="en-AU"/>
        </w:rPr>
        <w:t xml:space="preserve">   </w:t>
      </w:r>
    </w:p>
    <w:p w14:paraId="4A3F2217" w14:textId="77777777" w:rsidR="00100D8D" w:rsidRDefault="00100D8D" w:rsidP="00185947">
      <w:pPr>
        <w:spacing w:line="480" w:lineRule="auto"/>
        <w:ind w:firstLine="720"/>
        <w:rPr>
          <w:lang w:val="en-AU"/>
        </w:rPr>
      </w:pPr>
    </w:p>
    <w:p w14:paraId="730BA7B1" w14:textId="77777777" w:rsidR="00100D8D" w:rsidRDefault="00100D8D" w:rsidP="00185947">
      <w:pPr>
        <w:spacing w:line="480" w:lineRule="auto"/>
        <w:ind w:firstLine="720"/>
        <w:rPr>
          <w:lang w:val="en-AU"/>
        </w:rPr>
      </w:pPr>
    </w:p>
    <w:p w14:paraId="212D1B40" w14:textId="77777777" w:rsidR="00100D8D" w:rsidRDefault="00100D8D" w:rsidP="00185947">
      <w:pPr>
        <w:spacing w:line="480" w:lineRule="auto"/>
        <w:ind w:firstLine="720"/>
        <w:rPr>
          <w:lang w:val="en-AU"/>
        </w:rPr>
      </w:pPr>
    </w:p>
    <w:p w14:paraId="5A7B3A18" w14:textId="77777777" w:rsidR="00100D8D" w:rsidRDefault="00100D8D" w:rsidP="00185947">
      <w:pPr>
        <w:spacing w:line="480" w:lineRule="auto"/>
        <w:ind w:firstLine="720"/>
        <w:rPr>
          <w:lang w:val="en-AU"/>
        </w:rPr>
      </w:pPr>
    </w:p>
    <w:p w14:paraId="44708E60" w14:textId="77777777" w:rsidR="00100D8D" w:rsidRDefault="00100D8D" w:rsidP="00185947">
      <w:pPr>
        <w:spacing w:line="480" w:lineRule="auto"/>
        <w:ind w:firstLine="720"/>
        <w:rPr>
          <w:lang w:val="en-AU"/>
        </w:rPr>
      </w:pPr>
    </w:p>
    <w:p w14:paraId="2D12C2AE" w14:textId="77777777" w:rsidR="00100D8D" w:rsidRDefault="00100D8D" w:rsidP="00185947">
      <w:pPr>
        <w:spacing w:line="480" w:lineRule="auto"/>
        <w:ind w:firstLine="720"/>
        <w:rPr>
          <w:lang w:val="en-AU"/>
        </w:rPr>
      </w:pPr>
    </w:p>
    <w:p w14:paraId="43C363D4" w14:textId="77777777" w:rsidR="00100D8D" w:rsidRDefault="00100D8D" w:rsidP="00185947">
      <w:pPr>
        <w:spacing w:line="480" w:lineRule="auto"/>
        <w:ind w:firstLine="720"/>
        <w:rPr>
          <w:lang w:val="en-AU"/>
        </w:rPr>
      </w:pPr>
    </w:p>
    <w:p w14:paraId="663201BE" w14:textId="77777777" w:rsidR="00C155D0" w:rsidRDefault="00C155D0" w:rsidP="00C155D0">
      <w:pPr>
        <w:spacing w:line="480" w:lineRule="auto"/>
        <w:rPr>
          <w:lang w:val="en-AU"/>
        </w:rPr>
      </w:pPr>
    </w:p>
    <w:p w14:paraId="6B3445C8" w14:textId="146D7E86" w:rsidR="00100D8D" w:rsidRPr="0012528A" w:rsidRDefault="00100D8D" w:rsidP="00C155D0">
      <w:pPr>
        <w:spacing w:line="480" w:lineRule="auto"/>
        <w:jc w:val="center"/>
        <w:rPr>
          <w:rFonts w:ascii="Times New Roman" w:hAnsi="Times New Roman" w:cs="Times New Roman"/>
          <w:color w:val="000000" w:themeColor="text1"/>
          <w:lang w:val="en-AU"/>
        </w:rPr>
      </w:pPr>
      <w:commentRangeStart w:id="17"/>
      <w:r>
        <w:rPr>
          <w:rFonts w:ascii="Times New Roman" w:hAnsi="Times New Roman" w:cs="Times New Roman"/>
          <w:b/>
          <w:lang w:val="en-AU"/>
        </w:rPr>
        <w:lastRenderedPageBreak/>
        <w:t>References</w:t>
      </w:r>
      <w:commentRangeEnd w:id="17"/>
      <w:r w:rsidR="00995E11">
        <w:rPr>
          <w:rStyle w:val="CommentReference"/>
        </w:rPr>
        <w:commentReference w:id="17"/>
      </w:r>
    </w:p>
    <w:p w14:paraId="34C92CC0" w14:textId="6A6420CF" w:rsidR="003F7637" w:rsidRPr="0012528A" w:rsidRDefault="003F7637" w:rsidP="009D7E30">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Austra</w:t>
      </w:r>
      <w:r w:rsidR="007035ED" w:rsidRPr="0012528A">
        <w:rPr>
          <w:rFonts w:ascii="Times New Roman" w:hAnsi="Times New Roman" w:cs="Times New Roman"/>
          <w:color w:val="000000" w:themeColor="text1"/>
          <w:lang w:val="en-AU"/>
        </w:rPr>
        <w:t>lian Bureau of Statistics (</w:t>
      </w:r>
      <w:r w:rsidRPr="0012528A">
        <w:rPr>
          <w:rFonts w:ascii="Times New Roman" w:hAnsi="Times New Roman" w:cs="Times New Roman"/>
          <w:color w:val="000000" w:themeColor="text1"/>
          <w:lang w:val="en-AU"/>
        </w:rPr>
        <w:t>2001</w:t>
      </w:r>
      <w:r w:rsidR="007035ED" w:rsidRPr="0012528A">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 xml:space="preserve">, </w:t>
      </w:r>
      <w:r w:rsidRPr="0012528A">
        <w:rPr>
          <w:rFonts w:ascii="Times New Roman" w:hAnsi="Times New Roman" w:cs="Times New Roman"/>
          <w:i/>
          <w:color w:val="000000" w:themeColor="text1"/>
          <w:lang w:val="en-AU"/>
        </w:rPr>
        <w:t>2001 Census data</w:t>
      </w:r>
      <w:r w:rsidR="007035ED" w:rsidRPr="0012528A">
        <w:rPr>
          <w:rFonts w:ascii="Times New Roman" w:hAnsi="Times New Roman" w:cs="Times New Roman"/>
          <w:i/>
          <w:color w:val="000000" w:themeColor="text1"/>
          <w:lang w:val="en-AU"/>
        </w:rPr>
        <w:t xml:space="preserve">. </w:t>
      </w:r>
      <w:r w:rsidR="007035ED" w:rsidRPr="0012528A">
        <w:rPr>
          <w:rFonts w:ascii="Times New Roman" w:hAnsi="Times New Roman" w:cs="Times New Roman"/>
          <w:color w:val="000000" w:themeColor="text1"/>
          <w:lang w:val="en-AU"/>
        </w:rPr>
        <w:t xml:space="preserve">Retrieved from </w:t>
      </w:r>
      <w:r w:rsidRPr="0012528A">
        <w:rPr>
          <w:rFonts w:ascii="Times New Roman" w:hAnsi="Times New Roman" w:cs="Times New Roman"/>
          <w:color w:val="000000" w:themeColor="text1"/>
          <w:lang w:val="en-AU"/>
        </w:rPr>
        <w:t>http://www.abs.gov.au/websitedbs/censushome.nsf/home/historicaldata2001?opendocument.</w:t>
      </w:r>
    </w:p>
    <w:p w14:paraId="4F65EE22" w14:textId="2E4FEF5E" w:rsidR="00100D8D" w:rsidRPr="0012528A" w:rsidRDefault="00100D8D" w:rsidP="009D7E30">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Austral</w:t>
      </w:r>
      <w:r w:rsidR="007035ED" w:rsidRPr="0012528A">
        <w:rPr>
          <w:rFonts w:ascii="Times New Roman" w:hAnsi="Times New Roman" w:cs="Times New Roman"/>
          <w:color w:val="000000" w:themeColor="text1"/>
          <w:lang w:val="en-AU"/>
        </w:rPr>
        <w:t>ian Bureau of Statistics (</w:t>
      </w:r>
      <w:r w:rsidR="009D7E30" w:rsidRPr="0012528A">
        <w:rPr>
          <w:rFonts w:ascii="Times New Roman" w:hAnsi="Times New Roman" w:cs="Times New Roman"/>
          <w:color w:val="000000" w:themeColor="text1"/>
          <w:lang w:val="en-AU"/>
        </w:rPr>
        <w:t>2006</w:t>
      </w:r>
      <w:r w:rsidR="007035ED" w:rsidRPr="0012528A">
        <w:rPr>
          <w:rFonts w:ascii="Times New Roman" w:hAnsi="Times New Roman" w:cs="Times New Roman"/>
          <w:color w:val="000000" w:themeColor="text1"/>
          <w:lang w:val="en-AU"/>
        </w:rPr>
        <w:t>)</w:t>
      </w:r>
      <w:r w:rsidR="009D7E30" w:rsidRPr="0012528A">
        <w:rPr>
          <w:rFonts w:ascii="Times New Roman" w:hAnsi="Times New Roman" w:cs="Times New Roman"/>
          <w:color w:val="000000" w:themeColor="text1"/>
          <w:lang w:val="en-AU"/>
        </w:rPr>
        <w:t xml:space="preserve">, </w:t>
      </w:r>
      <w:r w:rsidR="009D7E30" w:rsidRPr="0012528A">
        <w:rPr>
          <w:rFonts w:ascii="Times New Roman" w:hAnsi="Times New Roman" w:cs="Times New Roman"/>
          <w:i/>
          <w:color w:val="000000" w:themeColor="text1"/>
          <w:lang w:val="en-AU"/>
        </w:rPr>
        <w:t>2006 Census data</w:t>
      </w:r>
      <w:r w:rsidR="007035ED" w:rsidRPr="0012528A">
        <w:rPr>
          <w:rFonts w:ascii="Times New Roman" w:hAnsi="Times New Roman" w:cs="Times New Roman"/>
          <w:i/>
          <w:color w:val="000000" w:themeColor="text1"/>
          <w:lang w:val="en-AU"/>
        </w:rPr>
        <w:t xml:space="preserve">. </w:t>
      </w:r>
      <w:r w:rsidR="007035ED" w:rsidRPr="0012528A">
        <w:rPr>
          <w:rFonts w:ascii="Times New Roman" w:hAnsi="Times New Roman" w:cs="Times New Roman"/>
          <w:color w:val="000000" w:themeColor="text1"/>
          <w:lang w:val="en-AU"/>
        </w:rPr>
        <w:t xml:space="preserve">Retrieved from </w:t>
      </w:r>
      <w:hyperlink r:id="rId12" w:history="1">
        <w:r w:rsidR="009D7E30" w:rsidRPr="0012528A">
          <w:rPr>
            <w:rStyle w:val="Hyperlink"/>
            <w:rFonts w:ascii="Times New Roman" w:hAnsi="Times New Roman" w:cs="Times New Roman"/>
            <w:color w:val="000000" w:themeColor="text1"/>
            <w:u w:val="none"/>
            <w:lang w:val="en-AU"/>
          </w:rPr>
          <w:t>http://abs.gov.au/websitedbs/censushome.nsf/home/historicaldata2006</w:t>
        </w:r>
      </w:hyperlink>
      <w:r w:rsidR="009D7E30" w:rsidRPr="0012528A">
        <w:rPr>
          <w:rFonts w:ascii="Times New Roman" w:hAnsi="Times New Roman" w:cs="Times New Roman"/>
          <w:color w:val="000000" w:themeColor="text1"/>
          <w:lang w:val="en-AU"/>
        </w:rPr>
        <w:t>.</w:t>
      </w:r>
    </w:p>
    <w:p w14:paraId="38E93520" w14:textId="4016E4A7" w:rsidR="009D7E30" w:rsidRPr="0012528A" w:rsidRDefault="009D7E30" w:rsidP="009D7E30">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Australian Government, Department of Health </w:t>
      </w:r>
      <w:r w:rsidR="007035ED" w:rsidRPr="0012528A">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2006</w:t>
      </w:r>
      <w:r w:rsidR="007035ED" w:rsidRPr="0012528A">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 xml:space="preserve">, </w:t>
      </w:r>
      <w:r w:rsidRPr="0012528A">
        <w:rPr>
          <w:rFonts w:ascii="Times New Roman" w:hAnsi="Times New Roman" w:cs="Times New Roman"/>
          <w:i/>
          <w:color w:val="000000" w:themeColor="text1"/>
          <w:lang w:val="en-AU"/>
        </w:rPr>
        <w:t xml:space="preserve">Australian Standard Geographical Classification – Remoteness Area (ASGC-RA 2006), </w:t>
      </w:r>
      <w:r w:rsidR="007035ED" w:rsidRPr="0012528A">
        <w:rPr>
          <w:rFonts w:ascii="Times New Roman" w:hAnsi="Times New Roman" w:cs="Times New Roman"/>
          <w:color w:val="000000" w:themeColor="text1"/>
          <w:lang w:val="en-AU"/>
        </w:rPr>
        <w:t xml:space="preserve">Retrieved from </w:t>
      </w:r>
      <w:hyperlink r:id="rId13" w:history="1">
        <w:r w:rsidR="00461BCD" w:rsidRPr="0012528A">
          <w:rPr>
            <w:rStyle w:val="Hyperlink"/>
            <w:rFonts w:ascii="Times New Roman" w:hAnsi="Times New Roman" w:cs="Times New Roman"/>
            <w:color w:val="000000" w:themeColor="text1"/>
            <w:u w:val="none"/>
            <w:lang w:val="en-AU"/>
          </w:rPr>
          <w:t>http://www.doctorconnect.gov.au/internet/otd/publishing.nsf/content/ra-intro</w:t>
        </w:r>
      </w:hyperlink>
      <w:r w:rsidR="00461BCD" w:rsidRPr="0012528A">
        <w:rPr>
          <w:rFonts w:ascii="Times New Roman" w:hAnsi="Times New Roman" w:cs="Times New Roman"/>
          <w:color w:val="000000" w:themeColor="text1"/>
          <w:lang w:val="en-AU"/>
        </w:rPr>
        <w:t>.</w:t>
      </w:r>
    </w:p>
    <w:p w14:paraId="5B8BE427" w14:textId="5D73E84A" w:rsidR="00461BCD" w:rsidRPr="0012528A" w:rsidRDefault="00461BCD" w:rsidP="009D7E30">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Australian Institute of Health and Welfare </w:t>
      </w:r>
      <w:r w:rsidR="007035ED" w:rsidRPr="0012528A">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2011</w:t>
      </w:r>
      <w:r w:rsidR="007035ED" w:rsidRPr="0012528A">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 xml:space="preserve">, </w:t>
      </w:r>
      <w:r w:rsidR="003F7637" w:rsidRPr="0012528A">
        <w:rPr>
          <w:rFonts w:ascii="Times New Roman" w:hAnsi="Times New Roman" w:cs="Times New Roman"/>
          <w:i/>
          <w:color w:val="000000" w:themeColor="text1"/>
          <w:lang w:val="en-AU"/>
        </w:rPr>
        <w:t>Indigenous Australian.</w:t>
      </w:r>
      <w:r w:rsidR="007035ED" w:rsidRPr="0012528A">
        <w:rPr>
          <w:rFonts w:ascii="Times New Roman" w:hAnsi="Times New Roman" w:cs="Times New Roman"/>
          <w:i/>
          <w:color w:val="000000" w:themeColor="text1"/>
          <w:lang w:val="en-AU"/>
        </w:rPr>
        <w:t xml:space="preserve"> </w:t>
      </w:r>
      <w:r w:rsidR="007035ED" w:rsidRPr="0012528A">
        <w:rPr>
          <w:rFonts w:ascii="Times New Roman" w:hAnsi="Times New Roman" w:cs="Times New Roman"/>
          <w:color w:val="000000" w:themeColor="text1"/>
          <w:lang w:val="en-AU"/>
        </w:rPr>
        <w:t xml:space="preserve">Retrieved from </w:t>
      </w:r>
      <w:hyperlink r:id="rId14" w:history="1">
        <w:r w:rsidR="008676D5" w:rsidRPr="0012528A">
          <w:rPr>
            <w:rStyle w:val="Hyperlink"/>
            <w:rFonts w:ascii="Times New Roman" w:hAnsi="Times New Roman" w:cs="Times New Roman"/>
            <w:color w:val="000000" w:themeColor="text1"/>
            <w:u w:val="none"/>
            <w:lang w:val="en-AU"/>
          </w:rPr>
          <w:t>http://www.aihw.gov.au/indigenous-australians/</w:t>
        </w:r>
      </w:hyperlink>
      <w:r w:rsidR="003F7637" w:rsidRPr="0012528A">
        <w:rPr>
          <w:rFonts w:ascii="Times New Roman" w:hAnsi="Times New Roman" w:cs="Times New Roman"/>
          <w:color w:val="000000" w:themeColor="text1"/>
          <w:lang w:val="en-AU"/>
        </w:rPr>
        <w:t>.</w:t>
      </w:r>
    </w:p>
    <w:p w14:paraId="2FC8DA9B" w14:textId="4E1321CF" w:rsidR="008676D5" w:rsidRPr="0012528A" w:rsidRDefault="008676D5" w:rsidP="009D7E30">
      <w:pPr>
        <w:spacing w:line="480" w:lineRule="auto"/>
        <w:ind w:left="720" w:hanging="720"/>
        <w:rPr>
          <w:rFonts w:ascii="Times New Roman" w:hAnsi="Times New Roman" w:cs="Times New Roman"/>
          <w:color w:val="000000" w:themeColor="text1"/>
        </w:rPr>
      </w:pPr>
      <w:r w:rsidRPr="0012528A">
        <w:rPr>
          <w:rFonts w:ascii="Times New Roman" w:hAnsi="Times New Roman" w:cs="Times New Roman"/>
          <w:color w:val="000000" w:themeColor="text1"/>
          <w:lang w:val="en-AU"/>
        </w:rPr>
        <w:t xml:space="preserve">Bell, A., &amp; Swinburn, B. (2004). What are the key food groups to target for preventing obesity and improving nutrition in schools? </w:t>
      </w:r>
      <w:r w:rsidRPr="0012528A">
        <w:rPr>
          <w:rFonts w:ascii="Times New Roman" w:hAnsi="Times New Roman" w:cs="Times New Roman"/>
          <w:i/>
          <w:color w:val="000000" w:themeColor="text1"/>
          <w:lang w:val="en-AU"/>
        </w:rPr>
        <w:t>European Journal of Clinical Nutrition, 58</w:t>
      </w:r>
      <w:r w:rsidRPr="0012528A">
        <w:rPr>
          <w:rFonts w:ascii="Times New Roman" w:hAnsi="Times New Roman" w:cs="Times New Roman"/>
          <w:color w:val="000000" w:themeColor="text1"/>
          <w:lang w:val="en-AU"/>
        </w:rPr>
        <w:t xml:space="preserve">(2), 258. </w:t>
      </w:r>
      <w:proofErr w:type="spellStart"/>
      <w:r w:rsidRPr="0012528A">
        <w:rPr>
          <w:rFonts w:ascii="Times New Roman" w:hAnsi="Times New Roman" w:cs="Times New Roman"/>
          <w:color w:val="000000" w:themeColor="text1"/>
          <w:lang w:val="en-AU"/>
        </w:rPr>
        <w:t>doi</w:t>
      </w:r>
      <w:proofErr w:type="spellEnd"/>
      <w:r w:rsidRPr="0012528A">
        <w:rPr>
          <w:rFonts w:ascii="Times New Roman" w:hAnsi="Times New Roman" w:cs="Times New Roman"/>
          <w:color w:val="000000" w:themeColor="text1"/>
          <w:lang w:val="en-AU"/>
        </w:rPr>
        <w:t xml:space="preserve">: </w:t>
      </w:r>
      <w:r w:rsidRPr="0012528A">
        <w:rPr>
          <w:rFonts w:ascii="Times New Roman" w:hAnsi="Times New Roman" w:cs="Times New Roman"/>
          <w:color w:val="000000" w:themeColor="text1"/>
        </w:rPr>
        <w:t>10.1038/sj.ejcn.1601775.</w:t>
      </w:r>
    </w:p>
    <w:p w14:paraId="31FC975F" w14:textId="341C2A5D" w:rsidR="007035ED" w:rsidRPr="0012528A" w:rsidRDefault="00461BCD" w:rsidP="008676D5">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Department of Health and Community Services &amp; Department of Employment Education Training </w:t>
      </w:r>
      <w:r w:rsidR="00C155D0">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2007</w:t>
      </w:r>
      <w:r w:rsidR="00C155D0">
        <w:rPr>
          <w:rFonts w:ascii="Times New Roman" w:hAnsi="Times New Roman" w:cs="Times New Roman"/>
          <w:color w:val="000000" w:themeColor="text1"/>
          <w:lang w:val="en-AU"/>
        </w:rPr>
        <w:t>).</w:t>
      </w:r>
      <w:r w:rsidRPr="0012528A">
        <w:rPr>
          <w:rFonts w:ascii="Times New Roman" w:hAnsi="Times New Roman" w:cs="Times New Roman"/>
          <w:color w:val="000000" w:themeColor="text1"/>
          <w:lang w:val="en-AU"/>
        </w:rPr>
        <w:t xml:space="preserve"> </w:t>
      </w:r>
      <w:r w:rsidRPr="0012528A">
        <w:rPr>
          <w:rFonts w:ascii="Times New Roman" w:hAnsi="Times New Roman" w:cs="Times New Roman"/>
          <w:i/>
          <w:color w:val="000000" w:themeColor="text1"/>
          <w:lang w:val="en-AU"/>
        </w:rPr>
        <w:t xml:space="preserve">Healthy School-Age Kids </w:t>
      </w:r>
      <w:r w:rsidRPr="0012528A">
        <w:rPr>
          <w:rFonts w:ascii="Times New Roman" w:hAnsi="Times New Roman" w:cs="Times New Roman"/>
          <w:color w:val="000000" w:themeColor="text1"/>
          <w:lang w:val="en-AU"/>
        </w:rPr>
        <w:t>(2</w:t>
      </w:r>
      <w:r w:rsidRPr="0012528A">
        <w:rPr>
          <w:rFonts w:ascii="Times New Roman" w:hAnsi="Times New Roman" w:cs="Times New Roman"/>
          <w:color w:val="000000" w:themeColor="text1"/>
          <w:vertAlign w:val="superscript"/>
          <w:lang w:val="en-AU"/>
        </w:rPr>
        <w:t>nd</w:t>
      </w:r>
      <w:r w:rsidRPr="0012528A">
        <w:rPr>
          <w:rFonts w:ascii="Times New Roman" w:hAnsi="Times New Roman" w:cs="Times New Roman"/>
          <w:color w:val="000000" w:themeColor="text1"/>
          <w:lang w:val="en-AU"/>
        </w:rPr>
        <w:t xml:space="preserve"> ed.). </w:t>
      </w:r>
      <w:r w:rsidR="00C155D0">
        <w:rPr>
          <w:rFonts w:ascii="Times New Roman" w:hAnsi="Times New Roman" w:cs="Times New Roman"/>
          <w:color w:val="000000" w:themeColor="text1"/>
          <w:lang w:val="en-AU"/>
        </w:rPr>
        <w:t xml:space="preserve">Retrieved from </w:t>
      </w:r>
      <w:hyperlink r:id="rId15" w:history="1">
        <w:r w:rsidR="003F7637" w:rsidRPr="0012528A">
          <w:rPr>
            <w:rStyle w:val="Hyperlink"/>
            <w:rFonts w:ascii="Times New Roman" w:hAnsi="Times New Roman" w:cs="Times New Roman"/>
            <w:color w:val="000000" w:themeColor="text1"/>
            <w:u w:val="none"/>
            <w:lang w:val="en-AU"/>
          </w:rPr>
          <w:t>http://remotehealthatlas.nt.gov.au/hsak_manual.pdf</w:t>
        </w:r>
      </w:hyperlink>
      <w:r w:rsidRPr="0012528A">
        <w:rPr>
          <w:rFonts w:ascii="Times New Roman" w:hAnsi="Times New Roman" w:cs="Times New Roman"/>
          <w:color w:val="000000" w:themeColor="text1"/>
          <w:lang w:val="en-AU"/>
        </w:rPr>
        <w:t>.</w:t>
      </w:r>
    </w:p>
    <w:p w14:paraId="2F223F1C" w14:textId="12F71E51" w:rsidR="0012528A" w:rsidRPr="0012528A" w:rsidRDefault="0012528A" w:rsidP="008676D5">
      <w:pPr>
        <w:spacing w:line="480" w:lineRule="auto"/>
        <w:ind w:left="720" w:hanging="720"/>
        <w:rPr>
          <w:rFonts w:ascii="Times New Roman" w:hAnsi="Times New Roman" w:cs="Times New Roman"/>
          <w:color w:val="000000" w:themeColor="text1"/>
          <w:lang w:val="en-AU"/>
        </w:rPr>
      </w:pPr>
      <w:proofErr w:type="spellStart"/>
      <w:r w:rsidRPr="0012528A">
        <w:rPr>
          <w:rFonts w:ascii="Times New Roman" w:hAnsi="Times New Roman" w:cs="Times New Roman"/>
          <w:color w:val="000000" w:themeColor="text1"/>
          <w:lang w:val="en-AU"/>
        </w:rPr>
        <w:t>Kawachi</w:t>
      </w:r>
      <w:proofErr w:type="spellEnd"/>
      <w:r w:rsidRPr="0012528A">
        <w:rPr>
          <w:rFonts w:ascii="Times New Roman" w:hAnsi="Times New Roman" w:cs="Times New Roman"/>
          <w:color w:val="000000" w:themeColor="text1"/>
          <w:lang w:val="en-AU"/>
        </w:rPr>
        <w:t xml:space="preserve">, I., &amp; Berkman, L. F. (2001). Social ties and mental health. </w:t>
      </w:r>
      <w:r w:rsidRPr="0012528A">
        <w:rPr>
          <w:rFonts w:ascii="Times New Roman" w:hAnsi="Times New Roman" w:cs="Times New Roman"/>
          <w:i/>
          <w:color w:val="000000" w:themeColor="text1"/>
          <w:lang w:val="en-AU"/>
        </w:rPr>
        <w:t>Journal of Urban Health, 78</w:t>
      </w:r>
      <w:r w:rsidRPr="0012528A">
        <w:rPr>
          <w:rFonts w:ascii="Times New Roman" w:hAnsi="Times New Roman" w:cs="Times New Roman"/>
          <w:color w:val="000000" w:themeColor="text1"/>
          <w:lang w:val="en-AU"/>
        </w:rPr>
        <w:t xml:space="preserve">(3), 458-467. </w:t>
      </w:r>
      <w:proofErr w:type="spellStart"/>
      <w:r w:rsidRPr="0012528A">
        <w:rPr>
          <w:rFonts w:ascii="Times New Roman" w:hAnsi="Times New Roman" w:cs="Times New Roman"/>
          <w:color w:val="000000" w:themeColor="text1"/>
          <w:lang w:val="en-AU"/>
        </w:rPr>
        <w:t>doi</w:t>
      </w:r>
      <w:proofErr w:type="spellEnd"/>
      <w:r w:rsidRPr="0012528A">
        <w:rPr>
          <w:rFonts w:ascii="Times New Roman" w:hAnsi="Times New Roman" w:cs="Times New Roman"/>
          <w:color w:val="000000" w:themeColor="text1"/>
          <w:lang w:val="en-AU"/>
        </w:rPr>
        <w:t>: https://dx.doi.org/10.1093%2Fjurban%2F78.3.458.</w:t>
      </w:r>
    </w:p>
    <w:p w14:paraId="2E00F1EC" w14:textId="263EA9CD" w:rsidR="008676D5" w:rsidRPr="0012528A" w:rsidRDefault="008676D5" w:rsidP="00F00F1B">
      <w:pPr>
        <w:spacing w:line="480" w:lineRule="auto"/>
        <w:ind w:left="720" w:hanging="720"/>
        <w:rPr>
          <w:rFonts w:ascii="Times New Roman" w:hAnsi="Times New Roman" w:cs="Times New Roman"/>
          <w:color w:val="000000" w:themeColor="text1"/>
        </w:rPr>
      </w:pPr>
      <w:r w:rsidRPr="0012528A">
        <w:rPr>
          <w:rFonts w:ascii="Times New Roman" w:hAnsi="Times New Roman" w:cs="Times New Roman"/>
          <w:color w:val="000000" w:themeColor="text1"/>
        </w:rPr>
        <w:t xml:space="preserve">Langford, R., </w:t>
      </w:r>
      <w:proofErr w:type="spellStart"/>
      <w:r w:rsidR="00F00F1B" w:rsidRPr="0012528A">
        <w:rPr>
          <w:rFonts w:ascii="Times New Roman" w:hAnsi="Times New Roman" w:cs="Times New Roman"/>
          <w:color w:val="000000" w:themeColor="text1"/>
        </w:rPr>
        <w:t>Bonell</w:t>
      </w:r>
      <w:proofErr w:type="spellEnd"/>
      <w:r w:rsidR="00F00F1B" w:rsidRPr="0012528A">
        <w:rPr>
          <w:rFonts w:ascii="Times New Roman" w:hAnsi="Times New Roman" w:cs="Times New Roman"/>
          <w:color w:val="000000" w:themeColor="text1"/>
        </w:rPr>
        <w:t xml:space="preserve">, C., Jones, H., </w:t>
      </w:r>
      <w:proofErr w:type="spellStart"/>
      <w:r w:rsidR="00F00F1B" w:rsidRPr="0012528A">
        <w:rPr>
          <w:rFonts w:ascii="Times New Roman" w:hAnsi="Times New Roman" w:cs="Times New Roman"/>
          <w:color w:val="000000" w:themeColor="text1"/>
        </w:rPr>
        <w:t>Pouliou</w:t>
      </w:r>
      <w:proofErr w:type="spellEnd"/>
      <w:r w:rsidR="00F00F1B" w:rsidRPr="0012528A">
        <w:rPr>
          <w:rFonts w:ascii="Times New Roman" w:hAnsi="Times New Roman" w:cs="Times New Roman"/>
          <w:color w:val="000000" w:themeColor="text1"/>
        </w:rPr>
        <w:t xml:space="preserve">, T., Murphy, S., Waters, E., … </w:t>
      </w:r>
      <w:r w:rsidRPr="0012528A">
        <w:rPr>
          <w:rFonts w:ascii="Times New Roman" w:hAnsi="Times New Roman" w:cs="Times New Roman"/>
          <w:color w:val="000000" w:themeColor="text1"/>
        </w:rPr>
        <w:t xml:space="preserve">Campbell, R. (2015). The world health organization’s health promoting </w:t>
      </w:r>
      <w:proofErr w:type="gramStart"/>
      <w:r w:rsidRPr="0012528A">
        <w:rPr>
          <w:rFonts w:ascii="Times New Roman" w:hAnsi="Times New Roman" w:cs="Times New Roman"/>
          <w:color w:val="000000" w:themeColor="text1"/>
        </w:rPr>
        <w:t>schools</w:t>
      </w:r>
      <w:proofErr w:type="gramEnd"/>
      <w:r w:rsidRPr="0012528A">
        <w:rPr>
          <w:rFonts w:ascii="Times New Roman" w:hAnsi="Times New Roman" w:cs="Times New Roman"/>
          <w:color w:val="000000" w:themeColor="text1"/>
        </w:rPr>
        <w:t xml:space="preserve"> framework: A Cochrane systematic review and meta-analysis. </w:t>
      </w:r>
      <w:r w:rsidRPr="0012528A">
        <w:rPr>
          <w:rFonts w:ascii="Times New Roman" w:hAnsi="Times New Roman" w:cs="Times New Roman"/>
          <w:i/>
          <w:color w:val="000000" w:themeColor="text1"/>
        </w:rPr>
        <w:t>BioMed Central Public Health, 15</w:t>
      </w:r>
      <w:r w:rsidRPr="0012528A">
        <w:rPr>
          <w:rFonts w:ascii="Times New Roman" w:hAnsi="Times New Roman" w:cs="Times New Roman"/>
          <w:color w:val="000000" w:themeColor="text1"/>
        </w:rPr>
        <w:t xml:space="preserve">(130). </w:t>
      </w:r>
      <w:proofErr w:type="spellStart"/>
      <w:r w:rsidR="00F00F1B" w:rsidRPr="0012528A">
        <w:rPr>
          <w:rFonts w:ascii="Times New Roman" w:hAnsi="Times New Roman" w:cs="Times New Roman"/>
          <w:color w:val="000000" w:themeColor="text1"/>
        </w:rPr>
        <w:t>doi</w:t>
      </w:r>
      <w:proofErr w:type="spellEnd"/>
      <w:r w:rsidR="00F00F1B" w:rsidRPr="0012528A">
        <w:rPr>
          <w:rFonts w:ascii="Times New Roman" w:hAnsi="Times New Roman" w:cs="Times New Roman"/>
          <w:color w:val="000000" w:themeColor="text1"/>
        </w:rPr>
        <w:t>: 10.1186/s12889-015-1360-y.</w:t>
      </w:r>
    </w:p>
    <w:p w14:paraId="1A3B79A4" w14:textId="60C9B1C4" w:rsidR="00F00F1B" w:rsidRPr="0012528A" w:rsidRDefault="00F00F1B" w:rsidP="00F00F1B">
      <w:pPr>
        <w:spacing w:line="480" w:lineRule="auto"/>
        <w:ind w:left="720" w:hanging="720"/>
        <w:rPr>
          <w:rFonts w:ascii="Times New Roman" w:hAnsi="Times New Roman" w:cs="Times New Roman"/>
          <w:color w:val="000000" w:themeColor="text1"/>
        </w:rPr>
      </w:pPr>
      <w:proofErr w:type="spellStart"/>
      <w:r w:rsidRPr="0012528A">
        <w:rPr>
          <w:rFonts w:ascii="Times New Roman" w:hAnsi="Times New Roman" w:cs="Times New Roman"/>
          <w:color w:val="000000" w:themeColor="text1"/>
        </w:rPr>
        <w:lastRenderedPageBreak/>
        <w:t>Lohoar</w:t>
      </w:r>
      <w:proofErr w:type="spellEnd"/>
      <w:r w:rsidRPr="0012528A">
        <w:rPr>
          <w:rFonts w:ascii="Times New Roman" w:hAnsi="Times New Roman" w:cs="Times New Roman"/>
          <w:color w:val="000000" w:themeColor="text1"/>
        </w:rPr>
        <w:t xml:space="preserve">, S., </w:t>
      </w:r>
      <w:r w:rsidR="00DF28A4" w:rsidRPr="0012528A">
        <w:rPr>
          <w:rFonts w:ascii="Times New Roman" w:hAnsi="Times New Roman" w:cs="Times New Roman"/>
          <w:color w:val="000000" w:themeColor="text1"/>
        </w:rPr>
        <w:t xml:space="preserve">Butera, N., &amp; Kennedy, E. (2011). </w:t>
      </w:r>
      <w:r w:rsidR="00DF28A4" w:rsidRPr="0012528A">
        <w:rPr>
          <w:rFonts w:ascii="Times New Roman" w:hAnsi="Times New Roman" w:cs="Times New Roman"/>
          <w:i/>
          <w:color w:val="000000" w:themeColor="text1"/>
        </w:rPr>
        <w:t xml:space="preserve">Strengths of Australian Aboriginal cultural practices in family life and child rearing. </w:t>
      </w:r>
      <w:r w:rsidR="00DF28A4" w:rsidRPr="0012528A">
        <w:rPr>
          <w:rFonts w:ascii="Times New Roman" w:hAnsi="Times New Roman" w:cs="Times New Roman"/>
          <w:color w:val="000000" w:themeColor="text1"/>
        </w:rPr>
        <w:t>Melbourne: Australian Institute of Family Studies.</w:t>
      </w:r>
    </w:p>
    <w:p w14:paraId="6E38DBAE" w14:textId="16A4F581" w:rsidR="00F00F1B" w:rsidRPr="0012528A" w:rsidRDefault="00F00F1B" w:rsidP="00F00F1B">
      <w:pPr>
        <w:spacing w:line="480" w:lineRule="auto"/>
        <w:ind w:left="720" w:hanging="720"/>
        <w:rPr>
          <w:rFonts w:ascii="Times New Roman" w:hAnsi="Times New Roman" w:cs="Times New Roman"/>
          <w:i/>
          <w:color w:val="000000" w:themeColor="text1"/>
        </w:rPr>
      </w:pPr>
      <w:r w:rsidRPr="0012528A">
        <w:rPr>
          <w:rFonts w:ascii="Times New Roman" w:hAnsi="Times New Roman" w:cs="Times New Roman"/>
          <w:color w:val="000000" w:themeColor="text1"/>
        </w:rPr>
        <w:t xml:space="preserve">Nursing Council of New Zealand (2002). </w:t>
      </w:r>
      <w:r w:rsidRPr="0012528A">
        <w:rPr>
          <w:rFonts w:ascii="Times New Roman" w:hAnsi="Times New Roman" w:cs="Times New Roman"/>
          <w:i/>
          <w:color w:val="000000" w:themeColor="text1"/>
        </w:rPr>
        <w:t xml:space="preserve">Guidelines for cultural safety, the treaty of Waitangi, and Maori health in nursing and midwifery education practice. </w:t>
      </w:r>
      <w:r w:rsidRPr="0012528A">
        <w:rPr>
          <w:rFonts w:ascii="Times New Roman" w:hAnsi="Times New Roman" w:cs="Times New Roman"/>
          <w:color w:val="000000" w:themeColor="text1"/>
        </w:rPr>
        <w:t xml:space="preserve">Wellington: Nursing Council of New Zealand. </w:t>
      </w:r>
      <w:r w:rsidRPr="0012528A">
        <w:rPr>
          <w:rFonts w:ascii="Times New Roman" w:hAnsi="Times New Roman" w:cs="Times New Roman"/>
          <w:i/>
          <w:color w:val="000000" w:themeColor="text1"/>
        </w:rPr>
        <w:t xml:space="preserve"> </w:t>
      </w:r>
    </w:p>
    <w:p w14:paraId="41BB0FFA" w14:textId="31142E16" w:rsidR="00F00F1B" w:rsidRPr="0012528A" w:rsidRDefault="00F00F1B" w:rsidP="00F00F1B">
      <w:pPr>
        <w:spacing w:line="480" w:lineRule="auto"/>
        <w:ind w:left="720" w:hanging="720"/>
        <w:rPr>
          <w:rFonts w:ascii="Times New Roman" w:hAnsi="Times New Roman" w:cs="Times New Roman"/>
          <w:color w:val="000000" w:themeColor="text1"/>
          <w:lang w:val="en-AU"/>
        </w:rPr>
      </w:pPr>
      <w:proofErr w:type="spellStart"/>
      <w:r w:rsidRPr="0012528A">
        <w:rPr>
          <w:rFonts w:ascii="Times New Roman" w:hAnsi="Times New Roman" w:cs="Times New Roman"/>
          <w:color w:val="000000" w:themeColor="text1"/>
        </w:rPr>
        <w:t>Oberklaid</w:t>
      </w:r>
      <w:proofErr w:type="spellEnd"/>
      <w:r w:rsidRPr="0012528A">
        <w:rPr>
          <w:rFonts w:ascii="Times New Roman" w:hAnsi="Times New Roman" w:cs="Times New Roman"/>
          <w:color w:val="000000" w:themeColor="text1"/>
        </w:rPr>
        <w:t xml:space="preserve">, F., Wake, M., Harris, C., </w:t>
      </w:r>
      <w:proofErr w:type="spellStart"/>
      <w:r w:rsidRPr="0012528A">
        <w:rPr>
          <w:rFonts w:ascii="Times New Roman" w:hAnsi="Times New Roman" w:cs="Times New Roman"/>
          <w:color w:val="000000" w:themeColor="text1"/>
        </w:rPr>
        <w:t>Hesketh</w:t>
      </w:r>
      <w:proofErr w:type="spellEnd"/>
      <w:r w:rsidRPr="0012528A">
        <w:rPr>
          <w:rFonts w:ascii="Times New Roman" w:hAnsi="Times New Roman" w:cs="Times New Roman"/>
          <w:color w:val="000000" w:themeColor="text1"/>
        </w:rPr>
        <w:t xml:space="preserve">, K., &amp; Wright, M. (2002). </w:t>
      </w:r>
      <w:r w:rsidRPr="0012528A">
        <w:rPr>
          <w:rFonts w:ascii="Times New Roman" w:hAnsi="Times New Roman" w:cs="Times New Roman"/>
          <w:i/>
          <w:color w:val="000000" w:themeColor="text1"/>
        </w:rPr>
        <w:t>Child health screening and surveillance: A critical review</w:t>
      </w:r>
      <w:r w:rsidRPr="0012528A">
        <w:rPr>
          <w:rFonts w:ascii="Times New Roman" w:hAnsi="Times New Roman" w:cs="Times New Roman"/>
          <w:color w:val="000000" w:themeColor="text1"/>
        </w:rPr>
        <w:t xml:space="preserve">. Melbourne: National Health and Medical Research Council. </w:t>
      </w:r>
    </w:p>
    <w:p w14:paraId="1EBA3FF2" w14:textId="4DEC7FC1" w:rsidR="007035ED" w:rsidRPr="0012528A" w:rsidRDefault="007035ED" w:rsidP="003F7637">
      <w:pPr>
        <w:spacing w:line="480" w:lineRule="auto"/>
        <w:ind w:left="720" w:hanging="720"/>
        <w:rPr>
          <w:rFonts w:ascii="Times New Roman" w:hAnsi="Times New Roman" w:cs="Times New Roman"/>
          <w:color w:val="000000" w:themeColor="text1"/>
          <w:lang w:val="en-AU"/>
        </w:rPr>
      </w:pPr>
      <w:proofErr w:type="spellStart"/>
      <w:r w:rsidRPr="0012528A">
        <w:rPr>
          <w:rFonts w:ascii="Times New Roman" w:hAnsi="Times New Roman" w:cs="Times New Roman"/>
          <w:color w:val="000000" w:themeColor="text1"/>
          <w:lang w:val="en-AU"/>
        </w:rPr>
        <w:t>Suhrcke</w:t>
      </w:r>
      <w:proofErr w:type="spellEnd"/>
      <w:r w:rsidRPr="0012528A">
        <w:rPr>
          <w:rFonts w:ascii="Times New Roman" w:hAnsi="Times New Roman" w:cs="Times New Roman"/>
          <w:color w:val="000000" w:themeColor="text1"/>
          <w:lang w:val="en-AU"/>
        </w:rPr>
        <w:t xml:space="preserve">, M., &amp; de Paz Nieves, C. (2011). </w:t>
      </w:r>
      <w:r w:rsidRPr="0012528A">
        <w:rPr>
          <w:rFonts w:ascii="Times New Roman" w:hAnsi="Times New Roman" w:cs="Times New Roman"/>
          <w:i/>
          <w:color w:val="000000" w:themeColor="text1"/>
          <w:lang w:val="en-AU"/>
        </w:rPr>
        <w:t>The impact of health and health behaviours on educational outcomes in high-income countries: A review of the evidence.</w:t>
      </w:r>
      <w:r w:rsidRPr="0012528A">
        <w:rPr>
          <w:rFonts w:ascii="Times New Roman" w:hAnsi="Times New Roman" w:cs="Times New Roman"/>
          <w:color w:val="000000" w:themeColor="text1"/>
          <w:lang w:val="en-AU"/>
        </w:rPr>
        <w:t xml:space="preserve"> Europe: World Health Organization. </w:t>
      </w:r>
    </w:p>
    <w:p w14:paraId="68EDBD1F" w14:textId="4C03345C" w:rsidR="003F7637" w:rsidRPr="0012528A" w:rsidRDefault="003F7637" w:rsidP="003F7637">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Wilkinson, R., &amp; Marmot, M. </w:t>
      </w:r>
      <w:r w:rsidR="007035ED" w:rsidRPr="0012528A">
        <w:rPr>
          <w:rFonts w:ascii="Times New Roman" w:hAnsi="Times New Roman" w:cs="Times New Roman"/>
          <w:color w:val="000000" w:themeColor="text1"/>
          <w:lang w:val="en-AU"/>
        </w:rPr>
        <w:t>(2003</w:t>
      </w:r>
      <w:r w:rsidRPr="0012528A">
        <w:rPr>
          <w:rFonts w:ascii="Times New Roman" w:hAnsi="Times New Roman" w:cs="Times New Roman"/>
          <w:color w:val="000000" w:themeColor="text1"/>
          <w:lang w:val="en-AU"/>
        </w:rPr>
        <w:t xml:space="preserve">). </w:t>
      </w:r>
      <w:r w:rsidRPr="0012528A">
        <w:rPr>
          <w:rFonts w:ascii="Times New Roman" w:hAnsi="Times New Roman" w:cs="Times New Roman"/>
          <w:i/>
          <w:color w:val="000000" w:themeColor="text1"/>
          <w:lang w:val="en-AU"/>
        </w:rPr>
        <w:t>Social determinants of health: The solid facts</w:t>
      </w:r>
      <w:r w:rsidRPr="0012528A">
        <w:rPr>
          <w:rFonts w:ascii="Times New Roman" w:hAnsi="Times New Roman" w:cs="Times New Roman"/>
          <w:color w:val="000000" w:themeColor="text1"/>
          <w:lang w:val="en-AU"/>
        </w:rPr>
        <w:t xml:space="preserve"> (2</w:t>
      </w:r>
      <w:r w:rsidRPr="0012528A">
        <w:rPr>
          <w:rFonts w:ascii="Times New Roman" w:hAnsi="Times New Roman" w:cs="Times New Roman"/>
          <w:color w:val="000000" w:themeColor="text1"/>
          <w:vertAlign w:val="superscript"/>
          <w:lang w:val="en-AU"/>
        </w:rPr>
        <w:t>nd</w:t>
      </w:r>
      <w:r w:rsidRPr="0012528A">
        <w:rPr>
          <w:rFonts w:ascii="Times New Roman" w:hAnsi="Times New Roman" w:cs="Times New Roman"/>
          <w:color w:val="000000" w:themeColor="text1"/>
          <w:lang w:val="en-AU"/>
        </w:rPr>
        <w:t xml:space="preserve"> ed.). Europe:</w:t>
      </w:r>
      <w:r w:rsidR="007035ED" w:rsidRPr="0012528A">
        <w:rPr>
          <w:rFonts w:ascii="Times New Roman" w:hAnsi="Times New Roman" w:cs="Times New Roman"/>
          <w:color w:val="000000" w:themeColor="text1"/>
          <w:lang w:val="en-AU"/>
        </w:rPr>
        <w:t xml:space="preserve"> World Health Organization.</w:t>
      </w:r>
    </w:p>
    <w:p w14:paraId="06DE5D54" w14:textId="381A9E54" w:rsidR="003F7637" w:rsidRPr="0012528A" w:rsidRDefault="0012528A" w:rsidP="009D7E30">
      <w:pPr>
        <w:spacing w:line="480" w:lineRule="auto"/>
        <w:ind w:left="720" w:hanging="720"/>
        <w:rPr>
          <w:rFonts w:ascii="Times New Roman" w:hAnsi="Times New Roman" w:cs="Times New Roman"/>
          <w:color w:val="000000" w:themeColor="text1"/>
          <w:lang w:val="en-AU"/>
        </w:rPr>
      </w:pPr>
      <w:r>
        <w:rPr>
          <w:rFonts w:ascii="Times New Roman" w:hAnsi="Times New Roman" w:cs="Times New Roman"/>
          <w:color w:val="000000" w:themeColor="text1"/>
          <w:lang w:val="en-AU"/>
        </w:rPr>
        <w:t>World Health Organization (</w:t>
      </w:r>
      <w:r w:rsidR="003F7637" w:rsidRPr="0012528A">
        <w:rPr>
          <w:rFonts w:ascii="Times New Roman" w:hAnsi="Times New Roman" w:cs="Times New Roman"/>
          <w:color w:val="000000" w:themeColor="text1"/>
          <w:lang w:val="en-AU"/>
        </w:rPr>
        <w:t>2010</w:t>
      </w:r>
      <w:r>
        <w:rPr>
          <w:rFonts w:ascii="Times New Roman" w:hAnsi="Times New Roman" w:cs="Times New Roman"/>
          <w:color w:val="000000" w:themeColor="text1"/>
          <w:lang w:val="en-AU"/>
        </w:rPr>
        <w:t>).</w:t>
      </w:r>
      <w:r w:rsidR="003F7637" w:rsidRPr="0012528A">
        <w:rPr>
          <w:rFonts w:ascii="Times New Roman" w:hAnsi="Times New Roman" w:cs="Times New Roman"/>
          <w:color w:val="000000" w:themeColor="text1"/>
          <w:lang w:val="en-AU"/>
        </w:rPr>
        <w:t xml:space="preserve"> </w:t>
      </w:r>
      <w:r w:rsidR="003F7637" w:rsidRPr="0012528A">
        <w:rPr>
          <w:rFonts w:ascii="Times New Roman" w:hAnsi="Times New Roman" w:cs="Times New Roman"/>
          <w:i/>
          <w:color w:val="000000" w:themeColor="text1"/>
          <w:lang w:val="en-AU"/>
        </w:rPr>
        <w:t>Social determinants of health</w:t>
      </w:r>
      <w:r w:rsidR="003F7637" w:rsidRPr="0012528A">
        <w:rPr>
          <w:rFonts w:ascii="Times New Roman" w:hAnsi="Times New Roman" w:cs="Times New Roman"/>
          <w:color w:val="000000" w:themeColor="text1"/>
          <w:lang w:val="en-AU"/>
        </w:rPr>
        <w:t xml:space="preserve">. </w:t>
      </w:r>
      <w:r>
        <w:rPr>
          <w:rFonts w:ascii="Times New Roman" w:hAnsi="Times New Roman" w:cs="Times New Roman"/>
          <w:color w:val="000000" w:themeColor="text1"/>
          <w:lang w:val="en-AU"/>
        </w:rPr>
        <w:t xml:space="preserve">Retrieved from </w:t>
      </w:r>
      <w:hyperlink r:id="rId16" w:history="1">
        <w:r w:rsidR="00DF28A4" w:rsidRPr="0012528A">
          <w:rPr>
            <w:rStyle w:val="Hyperlink"/>
            <w:rFonts w:ascii="Times New Roman" w:hAnsi="Times New Roman" w:cs="Times New Roman"/>
            <w:color w:val="000000" w:themeColor="text1"/>
            <w:u w:val="none"/>
            <w:lang w:val="en-AU"/>
          </w:rPr>
          <w:t>http://www.who.int/social_determinants/sdh_definition/en/</w:t>
        </w:r>
      </w:hyperlink>
      <w:r w:rsidR="003F7637" w:rsidRPr="0012528A">
        <w:rPr>
          <w:rFonts w:ascii="Times New Roman" w:hAnsi="Times New Roman" w:cs="Times New Roman"/>
          <w:color w:val="000000" w:themeColor="text1"/>
          <w:lang w:val="en-AU"/>
        </w:rPr>
        <w:t>.</w:t>
      </w:r>
    </w:p>
    <w:p w14:paraId="5CA93A98" w14:textId="3E14ECCC" w:rsidR="00DF28A4" w:rsidRPr="0012528A" w:rsidRDefault="00DF28A4" w:rsidP="009D7E30">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Yeo, S. S. (2003). Bonding and attachment of Australian aboriginal children. </w:t>
      </w:r>
      <w:r w:rsidRPr="0012528A">
        <w:rPr>
          <w:rFonts w:ascii="Times New Roman" w:hAnsi="Times New Roman" w:cs="Times New Roman"/>
          <w:i/>
          <w:color w:val="000000" w:themeColor="text1"/>
          <w:lang w:val="en-AU"/>
        </w:rPr>
        <w:t>Child Abuse Review, 12</w:t>
      </w:r>
      <w:r w:rsidRPr="0012528A">
        <w:rPr>
          <w:rFonts w:ascii="Times New Roman" w:hAnsi="Times New Roman" w:cs="Times New Roman"/>
          <w:color w:val="000000" w:themeColor="text1"/>
          <w:lang w:val="en-AU"/>
        </w:rPr>
        <w:t xml:space="preserve">(3), 292-304. </w:t>
      </w:r>
      <w:proofErr w:type="spellStart"/>
      <w:r w:rsidRPr="0012528A">
        <w:rPr>
          <w:rFonts w:ascii="Times New Roman" w:hAnsi="Times New Roman" w:cs="Times New Roman"/>
          <w:color w:val="000000" w:themeColor="text1"/>
          <w:lang w:val="en-AU"/>
        </w:rPr>
        <w:t>doi</w:t>
      </w:r>
      <w:proofErr w:type="spellEnd"/>
      <w:r w:rsidRPr="0012528A">
        <w:rPr>
          <w:rFonts w:ascii="Times New Roman" w:hAnsi="Times New Roman" w:cs="Times New Roman"/>
          <w:color w:val="000000" w:themeColor="text1"/>
          <w:lang w:val="en-AU"/>
        </w:rPr>
        <w:t xml:space="preserve">: </w:t>
      </w:r>
      <w:r w:rsidRPr="0012528A">
        <w:rPr>
          <w:rFonts w:ascii="Times New Roman" w:hAnsi="Times New Roman" w:cs="Times New Roman"/>
          <w:color w:val="000000" w:themeColor="text1"/>
        </w:rPr>
        <w:t>10.1002/car.817.</w:t>
      </w:r>
    </w:p>
    <w:p w14:paraId="200B9F12" w14:textId="2D4C19F0" w:rsidR="007A5F5C" w:rsidRPr="0012528A" w:rsidRDefault="00461BCD" w:rsidP="00461BCD">
      <w:pPr>
        <w:spacing w:line="480" w:lineRule="auto"/>
        <w:ind w:left="720" w:hanging="720"/>
        <w:rPr>
          <w:rFonts w:ascii="Times New Roman" w:hAnsi="Times New Roman" w:cs="Times New Roman"/>
          <w:color w:val="000000" w:themeColor="text1"/>
          <w:lang w:val="en-AU"/>
        </w:rPr>
      </w:pPr>
      <w:r w:rsidRPr="0012528A">
        <w:rPr>
          <w:rFonts w:ascii="Times New Roman" w:hAnsi="Times New Roman" w:cs="Times New Roman"/>
          <w:color w:val="000000" w:themeColor="text1"/>
          <w:lang w:val="en-AU"/>
        </w:rPr>
        <w:t xml:space="preserve">Zhao, Y., Connors, C., Wright, J., Guthridge, S., &amp; Bailie, R. (2008). Estimating chronic disease prevalence among the remote Aboriginal population of Northern Territory using multiple data sources. </w:t>
      </w:r>
      <w:r w:rsidRPr="0012528A">
        <w:rPr>
          <w:rFonts w:ascii="Times New Roman" w:hAnsi="Times New Roman" w:cs="Times New Roman"/>
          <w:i/>
          <w:color w:val="000000" w:themeColor="text1"/>
          <w:lang w:val="en-AU"/>
        </w:rPr>
        <w:t>Australian and New Zealand Journal of Public Health, 32</w:t>
      </w:r>
      <w:r w:rsidRPr="0012528A">
        <w:rPr>
          <w:rFonts w:ascii="Times New Roman" w:hAnsi="Times New Roman" w:cs="Times New Roman"/>
          <w:color w:val="000000" w:themeColor="text1"/>
          <w:lang w:val="en-AU"/>
        </w:rPr>
        <w:t xml:space="preserve">(4), 307-313. </w:t>
      </w:r>
      <w:proofErr w:type="spellStart"/>
      <w:r w:rsidRPr="0012528A">
        <w:rPr>
          <w:rFonts w:ascii="Times New Roman" w:hAnsi="Times New Roman" w:cs="Times New Roman"/>
          <w:color w:val="000000" w:themeColor="text1"/>
          <w:lang w:val="en-AU"/>
        </w:rPr>
        <w:t>doi</w:t>
      </w:r>
      <w:proofErr w:type="spellEnd"/>
      <w:r w:rsidRPr="0012528A">
        <w:rPr>
          <w:rFonts w:ascii="Times New Roman" w:hAnsi="Times New Roman" w:cs="Times New Roman"/>
          <w:color w:val="000000" w:themeColor="text1"/>
          <w:lang w:val="en-AU"/>
        </w:rPr>
        <w:t xml:space="preserve">: </w:t>
      </w:r>
      <w:r w:rsidRPr="0012528A">
        <w:rPr>
          <w:rFonts w:ascii="Times New Roman" w:hAnsi="Times New Roman" w:cs="Times New Roman"/>
          <w:color w:val="000000" w:themeColor="text1"/>
        </w:rPr>
        <w:t>10.1111/j.1753-6405.2008.</w:t>
      </w:r>
      <w:proofErr w:type="gramStart"/>
      <w:r w:rsidRPr="0012528A">
        <w:rPr>
          <w:rFonts w:ascii="Times New Roman" w:hAnsi="Times New Roman" w:cs="Times New Roman"/>
          <w:color w:val="000000" w:themeColor="text1"/>
        </w:rPr>
        <w:t>00245.x.</w:t>
      </w:r>
      <w:proofErr w:type="gramEnd"/>
    </w:p>
    <w:p w14:paraId="198296A7" w14:textId="77777777" w:rsidR="007A5F5C" w:rsidRPr="00BF2732" w:rsidRDefault="007A5F5C">
      <w:pPr>
        <w:rPr>
          <w:lang w:val="en-AU"/>
        </w:rPr>
      </w:pPr>
    </w:p>
    <w:sectPr w:rsidR="007A5F5C" w:rsidRPr="00BF2732" w:rsidSect="00282E96">
      <w:footerReference w:type="even" r:id="rId17"/>
      <w:footerReference w:type="default" r:id="rId1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ren Anderson" w:date="2019-08-22T10:03:00Z" w:initials="KA">
    <w:p w14:paraId="29AC1E20" w14:textId="6097F4A0" w:rsidR="00121138" w:rsidRDefault="00121138">
      <w:pPr>
        <w:pStyle w:val="CommentText"/>
      </w:pPr>
      <w:r>
        <w:rPr>
          <w:rStyle w:val="CommentReference"/>
        </w:rPr>
        <w:annotationRef/>
      </w:r>
      <w:r>
        <w:t>Defines remoteness and classification system. You will be referring to ASGS (the updated system)</w:t>
      </w:r>
    </w:p>
  </w:comment>
  <w:comment w:id="1" w:author="Karen Anderson" w:date="2019-08-22T10:03:00Z" w:initials="KA">
    <w:p w14:paraId="015652A1" w14:textId="63731136" w:rsidR="00121138" w:rsidRDefault="00121138">
      <w:pPr>
        <w:pStyle w:val="CommentText"/>
      </w:pPr>
      <w:r>
        <w:rPr>
          <w:rStyle w:val="CommentReference"/>
        </w:rPr>
        <w:annotationRef/>
      </w:r>
      <w:r>
        <w:t xml:space="preserve">Explains topic of essay – introduces the community and links this to classification system, refers to determinants of health and introduced the health promotion initiative </w:t>
      </w:r>
    </w:p>
  </w:comment>
  <w:comment w:id="2" w:author="Karen Anderson" w:date="2019-08-22T10:05:00Z" w:initials="KA">
    <w:p w14:paraId="506832D6" w14:textId="68F76EDF" w:rsidR="00121138" w:rsidRDefault="00121138">
      <w:pPr>
        <w:pStyle w:val="CommentText"/>
      </w:pPr>
      <w:r>
        <w:rPr>
          <w:rStyle w:val="CommentReference"/>
        </w:rPr>
        <w:annotationRef/>
      </w:r>
      <w:r>
        <w:t>Characteristics of community</w:t>
      </w:r>
    </w:p>
  </w:comment>
  <w:comment w:id="3" w:author="Karen Anderson" w:date="2019-08-22T10:05:00Z" w:initials="KA">
    <w:p w14:paraId="77656110" w14:textId="00FD5B0E" w:rsidR="00121138" w:rsidRDefault="00121138">
      <w:pPr>
        <w:pStyle w:val="CommentText"/>
      </w:pPr>
      <w:r>
        <w:rPr>
          <w:rStyle w:val="CommentReference"/>
        </w:rPr>
        <w:annotationRef/>
      </w:r>
      <w:r>
        <w:t>Identifies health implications/issues for community</w:t>
      </w:r>
    </w:p>
  </w:comment>
  <w:comment w:id="4" w:author="Karen Anderson" w:date="2019-08-22T10:06:00Z" w:initials="KA">
    <w:p w14:paraId="129AE89A" w14:textId="79E4EE28" w:rsidR="00121138" w:rsidRDefault="00121138">
      <w:pPr>
        <w:pStyle w:val="CommentText"/>
      </w:pPr>
      <w:r>
        <w:rPr>
          <w:rStyle w:val="CommentReference"/>
        </w:rPr>
        <w:annotationRef/>
      </w:r>
      <w:r>
        <w:t>Discusses social determinants, including a definition of social determinants</w:t>
      </w:r>
    </w:p>
  </w:comment>
  <w:comment w:id="5" w:author="Karen Anderson" w:date="2019-08-22T10:16:00Z" w:initials="KA">
    <w:p w14:paraId="6252F393" w14:textId="12E93280" w:rsidR="00995E11" w:rsidRDefault="00995E11">
      <w:pPr>
        <w:pStyle w:val="CommentText"/>
      </w:pPr>
      <w:r>
        <w:rPr>
          <w:rStyle w:val="CommentReference"/>
        </w:rPr>
        <w:annotationRef/>
      </w:r>
      <w:r>
        <w:t>This is an older essay and using data from 2001 was appropriate. This would no longer be appropriate as the last Census was in 2016.</w:t>
      </w:r>
    </w:p>
  </w:comment>
  <w:comment w:id="6" w:author="Karen Anderson" w:date="2019-08-22T10:06:00Z" w:initials="KA">
    <w:p w14:paraId="5E917FD2" w14:textId="4788345A" w:rsidR="00121138" w:rsidRDefault="00121138">
      <w:pPr>
        <w:pStyle w:val="CommentText"/>
      </w:pPr>
      <w:r>
        <w:rPr>
          <w:rStyle w:val="CommentReference"/>
        </w:rPr>
        <w:annotationRef/>
      </w:r>
      <w:r>
        <w:t xml:space="preserve">Identified social determinants and provides evidence </w:t>
      </w:r>
    </w:p>
  </w:comment>
  <w:comment w:id="8" w:author="Karen Anderson" w:date="2019-08-22T10:07:00Z" w:initials="KA">
    <w:p w14:paraId="4F4D427A" w14:textId="7E2FDE19" w:rsidR="00121138" w:rsidRDefault="00121138">
      <w:pPr>
        <w:pStyle w:val="CommentText"/>
      </w:pPr>
      <w:r>
        <w:rPr>
          <w:rStyle w:val="CommentReference"/>
        </w:rPr>
        <w:annotationRef/>
      </w:r>
      <w:r>
        <w:t xml:space="preserve">Introduces the health promotion initiative. Provides a description of the program including aim/objectives and strategies as well links to how the program is addressing determinants </w:t>
      </w:r>
    </w:p>
  </w:comment>
  <w:comment w:id="9" w:author="Karen Anderson" w:date="2019-08-22T10:08:00Z" w:initials="KA">
    <w:p w14:paraId="0D687339" w14:textId="361341DC" w:rsidR="00121138" w:rsidRDefault="00121138">
      <w:pPr>
        <w:pStyle w:val="CommentText"/>
      </w:pPr>
      <w:r>
        <w:rPr>
          <w:rStyle w:val="CommentReference"/>
        </w:rPr>
        <w:annotationRef/>
      </w:r>
      <w:r>
        <w:t xml:space="preserve">Discusses both strengths and limitations </w:t>
      </w:r>
    </w:p>
  </w:comment>
  <w:comment w:id="10" w:author="Karen Anderson" w:date="2019-08-22T10:14:00Z" w:initials="KA">
    <w:p w14:paraId="66A7FA4B" w14:textId="0E86BED0" w:rsidR="00995E11" w:rsidRDefault="00995E11">
      <w:pPr>
        <w:pStyle w:val="CommentText"/>
      </w:pPr>
      <w:r>
        <w:rPr>
          <w:rStyle w:val="CommentReference"/>
        </w:rPr>
        <w:annotationRef/>
      </w:r>
      <w:r>
        <w:t xml:space="preserve">Discussing program strengths within a public health context </w:t>
      </w:r>
    </w:p>
  </w:comment>
  <w:comment w:id="11" w:author="Karen Anderson" w:date="2019-08-22T10:09:00Z" w:initials="KA">
    <w:p w14:paraId="712ECBE4" w14:textId="58CE3EB7" w:rsidR="00121138" w:rsidRDefault="00121138">
      <w:pPr>
        <w:pStyle w:val="CommentText"/>
      </w:pPr>
      <w:r>
        <w:rPr>
          <w:rStyle w:val="CommentReference"/>
        </w:rPr>
        <w:annotationRef/>
      </w:r>
      <w:r>
        <w:t xml:space="preserve">Links program to a framework, in this case Health Promoting Schools and then uses the evaluations of this framework to examine strengths and limitations of the initiative </w:t>
      </w:r>
    </w:p>
  </w:comment>
  <w:comment w:id="12" w:author="Karen Anderson" w:date="2019-08-22T10:09:00Z" w:initials="KA">
    <w:p w14:paraId="1BD27223" w14:textId="6A99F600" w:rsidR="00121138" w:rsidRDefault="00121138">
      <w:pPr>
        <w:pStyle w:val="CommentText"/>
      </w:pPr>
      <w:r>
        <w:rPr>
          <w:rStyle w:val="CommentReference"/>
        </w:rPr>
        <w:annotationRef/>
      </w:r>
      <w:r>
        <w:t>Links the program to another health promotion framework. Demonstrating an understanding of a public health approach.</w:t>
      </w:r>
    </w:p>
  </w:comment>
  <w:comment w:id="13" w:author="Karen Anderson" w:date="2019-08-22T10:11:00Z" w:initials="KA">
    <w:p w14:paraId="2F7F45B4" w14:textId="08F7DD82" w:rsidR="00121138" w:rsidRDefault="00121138">
      <w:pPr>
        <w:pStyle w:val="CommentText"/>
      </w:pPr>
      <w:r>
        <w:rPr>
          <w:rStyle w:val="CommentReference"/>
        </w:rPr>
        <w:annotationRef/>
      </w:r>
      <w:r>
        <w:t xml:space="preserve">Drawing on evidence to highlight some weaknesses of the initiative </w:t>
      </w:r>
    </w:p>
  </w:comment>
  <w:comment w:id="14" w:author="Karen Anderson" w:date="2019-08-22T10:12:00Z" w:initials="KA">
    <w:p w14:paraId="2B5EE2BF" w14:textId="365C617B" w:rsidR="00121138" w:rsidRDefault="00121138">
      <w:pPr>
        <w:pStyle w:val="CommentText"/>
      </w:pPr>
      <w:r>
        <w:rPr>
          <w:rStyle w:val="CommentReference"/>
        </w:rPr>
        <w:annotationRef/>
      </w:r>
      <w:r>
        <w:t>Links weakness to cultural determinants which were discussed earlier in the essay. This demonstrates internal logic.</w:t>
      </w:r>
    </w:p>
  </w:comment>
  <w:comment w:id="15" w:author="Karen Anderson" w:date="2019-08-22T10:13:00Z" w:initials="KA">
    <w:p w14:paraId="3DFFDC9D" w14:textId="6EEA422B" w:rsidR="00995E11" w:rsidRDefault="00995E11">
      <w:pPr>
        <w:pStyle w:val="CommentText"/>
      </w:pPr>
      <w:r>
        <w:rPr>
          <w:rStyle w:val="CommentReference"/>
        </w:rPr>
        <w:annotationRef/>
      </w:r>
      <w:r>
        <w:t>Statement about implication of remoteness on health</w:t>
      </w:r>
    </w:p>
  </w:comment>
  <w:comment w:id="16" w:author="Karen Anderson" w:date="2019-08-22T10:13:00Z" w:initials="KA">
    <w:p w14:paraId="0AC0171A" w14:textId="381CA557" w:rsidR="00995E11" w:rsidRDefault="00995E11">
      <w:pPr>
        <w:pStyle w:val="CommentText"/>
      </w:pPr>
      <w:r>
        <w:rPr>
          <w:rStyle w:val="CommentReference"/>
        </w:rPr>
        <w:annotationRef/>
      </w:r>
      <w:r>
        <w:t>Recommendations for working to promote health and prevent illness in this location</w:t>
      </w:r>
    </w:p>
  </w:comment>
  <w:comment w:id="17" w:author="Karen Anderson" w:date="2019-08-22T10:14:00Z" w:initials="KA">
    <w:p w14:paraId="2BF96981" w14:textId="657222A5" w:rsidR="00995E11" w:rsidRDefault="00995E11">
      <w:pPr>
        <w:pStyle w:val="CommentText"/>
      </w:pPr>
      <w:r>
        <w:rPr>
          <w:rStyle w:val="CommentReference"/>
        </w:rPr>
        <w:annotationRef/>
      </w:r>
      <w:r>
        <w:t>Appropriately compiled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AC1E20" w15:done="0"/>
  <w15:commentEx w15:paraId="015652A1" w15:done="0"/>
  <w15:commentEx w15:paraId="506832D6" w15:done="0"/>
  <w15:commentEx w15:paraId="77656110" w15:done="0"/>
  <w15:commentEx w15:paraId="129AE89A" w15:done="0"/>
  <w15:commentEx w15:paraId="6252F393" w15:done="0"/>
  <w15:commentEx w15:paraId="5E917FD2" w15:done="0"/>
  <w15:commentEx w15:paraId="4F4D427A" w15:done="0"/>
  <w15:commentEx w15:paraId="0D687339" w15:done="0"/>
  <w15:commentEx w15:paraId="66A7FA4B" w15:done="0"/>
  <w15:commentEx w15:paraId="712ECBE4" w15:done="0"/>
  <w15:commentEx w15:paraId="1BD27223" w15:done="0"/>
  <w15:commentEx w15:paraId="2F7F45B4" w15:done="0"/>
  <w15:commentEx w15:paraId="2B5EE2BF" w15:done="0"/>
  <w15:commentEx w15:paraId="3DFFDC9D" w15:done="0"/>
  <w15:commentEx w15:paraId="0AC0171A" w15:done="0"/>
  <w15:commentEx w15:paraId="2BF969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C1E20" w16cid:durableId="2108E6F2"/>
  <w16cid:commentId w16cid:paraId="015652A1" w16cid:durableId="2108E707"/>
  <w16cid:commentId w16cid:paraId="506832D6" w16cid:durableId="2108E76B"/>
  <w16cid:commentId w16cid:paraId="77656110" w16cid:durableId="2108E77E"/>
  <w16cid:commentId w16cid:paraId="129AE89A" w16cid:durableId="2108E799"/>
  <w16cid:commentId w16cid:paraId="6252F393" w16cid:durableId="2108E9F4"/>
  <w16cid:commentId w16cid:paraId="5E917FD2" w16cid:durableId="2108E7C2"/>
  <w16cid:commentId w16cid:paraId="4F4D427A" w16cid:durableId="2108E7E5"/>
  <w16cid:commentId w16cid:paraId="0D687339" w16cid:durableId="2108E82C"/>
  <w16cid:commentId w16cid:paraId="66A7FA4B" w16cid:durableId="2108E9A3"/>
  <w16cid:commentId w16cid:paraId="712ECBE4" w16cid:durableId="2108E86C"/>
  <w16cid:commentId w16cid:paraId="1BD27223" w16cid:durableId="2108E84C"/>
  <w16cid:commentId w16cid:paraId="2F7F45B4" w16cid:durableId="2108E8E3"/>
  <w16cid:commentId w16cid:paraId="2B5EE2BF" w16cid:durableId="2108E908"/>
  <w16cid:commentId w16cid:paraId="3DFFDC9D" w16cid:durableId="2108E958"/>
  <w16cid:commentId w16cid:paraId="0AC0171A" w16cid:durableId="2108E942"/>
  <w16cid:commentId w16cid:paraId="2BF96981" w16cid:durableId="2108E9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D61A" w14:textId="77777777" w:rsidR="00C8646E" w:rsidRDefault="00C8646E" w:rsidP="00100D8D">
      <w:r>
        <w:separator/>
      </w:r>
    </w:p>
  </w:endnote>
  <w:endnote w:type="continuationSeparator" w:id="0">
    <w:p w14:paraId="219140FA" w14:textId="77777777" w:rsidR="00C8646E" w:rsidRDefault="00C8646E" w:rsidP="0010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B125" w14:textId="77777777" w:rsidR="00100D8D" w:rsidRDefault="00100D8D" w:rsidP="00100D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EA0D3" w14:textId="77777777" w:rsidR="00100D8D" w:rsidRDefault="00100D8D" w:rsidP="00100D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CDAD" w14:textId="77777777" w:rsidR="00100D8D" w:rsidRDefault="00100D8D" w:rsidP="009541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46E">
      <w:rPr>
        <w:rStyle w:val="PageNumber"/>
        <w:noProof/>
      </w:rPr>
      <w:t>1</w:t>
    </w:r>
    <w:r>
      <w:rPr>
        <w:rStyle w:val="PageNumber"/>
      </w:rPr>
      <w:fldChar w:fldCharType="end"/>
    </w:r>
  </w:p>
  <w:p w14:paraId="63ED63D4" w14:textId="77777777" w:rsidR="00100D8D" w:rsidRDefault="00100D8D" w:rsidP="00100D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13795" w14:textId="77777777" w:rsidR="00C8646E" w:rsidRDefault="00C8646E" w:rsidP="00100D8D">
      <w:r>
        <w:separator/>
      </w:r>
    </w:p>
  </w:footnote>
  <w:footnote w:type="continuationSeparator" w:id="0">
    <w:p w14:paraId="7804627C" w14:textId="77777777" w:rsidR="00C8646E" w:rsidRDefault="00C8646E" w:rsidP="00100D8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Anderson">
    <w15:presenceInfo w15:providerId="AD" w15:userId="S::KSAnderson@ltu.edu.au::91dc1680-12d5-48c0-a5fc-8798f378b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32"/>
    <w:rsid w:val="00037B8F"/>
    <w:rsid w:val="00071A05"/>
    <w:rsid w:val="000B4BD8"/>
    <w:rsid w:val="00100D8D"/>
    <w:rsid w:val="00121138"/>
    <w:rsid w:val="0012528A"/>
    <w:rsid w:val="00126394"/>
    <w:rsid w:val="001322AD"/>
    <w:rsid w:val="00185947"/>
    <w:rsid w:val="001B6C0F"/>
    <w:rsid w:val="001C338E"/>
    <w:rsid w:val="001E3BB6"/>
    <w:rsid w:val="0027403C"/>
    <w:rsid w:val="00276271"/>
    <w:rsid w:val="00282E96"/>
    <w:rsid w:val="00294FE3"/>
    <w:rsid w:val="002C1647"/>
    <w:rsid w:val="0031648B"/>
    <w:rsid w:val="003444E6"/>
    <w:rsid w:val="0037346B"/>
    <w:rsid w:val="003E7271"/>
    <w:rsid w:val="003F7637"/>
    <w:rsid w:val="00461BCD"/>
    <w:rsid w:val="0046459D"/>
    <w:rsid w:val="004F4E30"/>
    <w:rsid w:val="0050014B"/>
    <w:rsid w:val="00525C25"/>
    <w:rsid w:val="005277FD"/>
    <w:rsid w:val="006034DB"/>
    <w:rsid w:val="00671697"/>
    <w:rsid w:val="006B155C"/>
    <w:rsid w:val="006C3178"/>
    <w:rsid w:val="007035ED"/>
    <w:rsid w:val="00736843"/>
    <w:rsid w:val="00784829"/>
    <w:rsid w:val="007A5F5C"/>
    <w:rsid w:val="007F3CC3"/>
    <w:rsid w:val="007F4917"/>
    <w:rsid w:val="007F5236"/>
    <w:rsid w:val="007F5A8F"/>
    <w:rsid w:val="00834D2F"/>
    <w:rsid w:val="00841B4C"/>
    <w:rsid w:val="00852983"/>
    <w:rsid w:val="008676D5"/>
    <w:rsid w:val="00867A00"/>
    <w:rsid w:val="008C03B2"/>
    <w:rsid w:val="008F04E2"/>
    <w:rsid w:val="008F3731"/>
    <w:rsid w:val="0091157E"/>
    <w:rsid w:val="0092548B"/>
    <w:rsid w:val="00956A4B"/>
    <w:rsid w:val="009876C9"/>
    <w:rsid w:val="00995E11"/>
    <w:rsid w:val="009D7E30"/>
    <w:rsid w:val="009E3F7D"/>
    <w:rsid w:val="00AD637E"/>
    <w:rsid w:val="00AD7F39"/>
    <w:rsid w:val="00AF58F8"/>
    <w:rsid w:val="00B35840"/>
    <w:rsid w:val="00BB05C1"/>
    <w:rsid w:val="00BD31CB"/>
    <w:rsid w:val="00BF2732"/>
    <w:rsid w:val="00C14F6C"/>
    <w:rsid w:val="00C155D0"/>
    <w:rsid w:val="00C2423A"/>
    <w:rsid w:val="00C731B8"/>
    <w:rsid w:val="00C8646E"/>
    <w:rsid w:val="00CA5958"/>
    <w:rsid w:val="00D140A0"/>
    <w:rsid w:val="00DF28A4"/>
    <w:rsid w:val="00E407D3"/>
    <w:rsid w:val="00E57C17"/>
    <w:rsid w:val="00F00F1B"/>
    <w:rsid w:val="00F5626A"/>
    <w:rsid w:val="00F76AF4"/>
    <w:rsid w:val="00FB7395"/>
    <w:rsid w:val="00FD74C9"/>
    <w:rsid w:val="00FE0E81"/>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28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C0F"/>
    <w:rPr>
      <w:color w:val="0563C1" w:themeColor="hyperlink"/>
      <w:u w:val="single"/>
    </w:rPr>
  </w:style>
  <w:style w:type="character" w:styleId="FollowedHyperlink">
    <w:name w:val="FollowedHyperlink"/>
    <w:basedOn w:val="DefaultParagraphFont"/>
    <w:uiPriority w:val="99"/>
    <w:semiHidden/>
    <w:unhideWhenUsed/>
    <w:rsid w:val="00F76AF4"/>
    <w:rPr>
      <w:color w:val="954F72" w:themeColor="followedHyperlink"/>
      <w:u w:val="single"/>
    </w:rPr>
  </w:style>
  <w:style w:type="paragraph" w:styleId="Footer">
    <w:name w:val="footer"/>
    <w:basedOn w:val="Normal"/>
    <w:link w:val="FooterChar"/>
    <w:uiPriority w:val="99"/>
    <w:unhideWhenUsed/>
    <w:rsid w:val="00100D8D"/>
    <w:pPr>
      <w:tabs>
        <w:tab w:val="center" w:pos="4513"/>
        <w:tab w:val="right" w:pos="9026"/>
      </w:tabs>
    </w:pPr>
  </w:style>
  <w:style w:type="character" w:customStyle="1" w:styleId="FooterChar">
    <w:name w:val="Footer Char"/>
    <w:basedOn w:val="DefaultParagraphFont"/>
    <w:link w:val="Footer"/>
    <w:uiPriority w:val="99"/>
    <w:rsid w:val="00100D8D"/>
  </w:style>
  <w:style w:type="character" w:styleId="PageNumber">
    <w:name w:val="page number"/>
    <w:basedOn w:val="DefaultParagraphFont"/>
    <w:uiPriority w:val="99"/>
    <w:semiHidden/>
    <w:unhideWhenUsed/>
    <w:rsid w:val="00100D8D"/>
  </w:style>
  <w:style w:type="paragraph" w:styleId="Header">
    <w:name w:val="header"/>
    <w:basedOn w:val="Normal"/>
    <w:link w:val="HeaderChar"/>
    <w:uiPriority w:val="99"/>
    <w:unhideWhenUsed/>
    <w:rsid w:val="00100D8D"/>
    <w:pPr>
      <w:tabs>
        <w:tab w:val="center" w:pos="4513"/>
        <w:tab w:val="right" w:pos="9026"/>
      </w:tabs>
    </w:pPr>
  </w:style>
  <w:style w:type="character" w:customStyle="1" w:styleId="HeaderChar">
    <w:name w:val="Header Char"/>
    <w:basedOn w:val="DefaultParagraphFont"/>
    <w:link w:val="Header"/>
    <w:uiPriority w:val="99"/>
    <w:rsid w:val="00100D8D"/>
  </w:style>
  <w:style w:type="character" w:styleId="CommentReference">
    <w:name w:val="annotation reference"/>
    <w:basedOn w:val="DefaultParagraphFont"/>
    <w:uiPriority w:val="99"/>
    <w:semiHidden/>
    <w:unhideWhenUsed/>
    <w:rsid w:val="00121138"/>
    <w:rPr>
      <w:sz w:val="16"/>
      <w:szCs w:val="16"/>
    </w:rPr>
  </w:style>
  <w:style w:type="paragraph" w:styleId="CommentText">
    <w:name w:val="annotation text"/>
    <w:basedOn w:val="Normal"/>
    <w:link w:val="CommentTextChar"/>
    <w:uiPriority w:val="99"/>
    <w:semiHidden/>
    <w:unhideWhenUsed/>
    <w:rsid w:val="00121138"/>
    <w:rPr>
      <w:sz w:val="20"/>
      <w:szCs w:val="20"/>
    </w:rPr>
  </w:style>
  <w:style w:type="character" w:customStyle="1" w:styleId="CommentTextChar">
    <w:name w:val="Comment Text Char"/>
    <w:basedOn w:val="DefaultParagraphFont"/>
    <w:link w:val="CommentText"/>
    <w:uiPriority w:val="99"/>
    <w:semiHidden/>
    <w:rsid w:val="00121138"/>
    <w:rPr>
      <w:sz w:val="20"/>
      <w:szCs w:val="20"/>
    </w:rPr>
  </w:style>
  <w:style w:type="paragraph" w:styleId="CommentSubject">
    <w:name w:val="annotation subject"/>
    <w:basedOn w:val="CommentText"/>
    <w:next w:val="CommentText"/>
    <w:link w:val="CommentSubjectChar"/>
    <w:uiPriority w:val="99"/>
    <w:semiHidden/>
    <w:unhideWhenUsed/>
    <w:rsid w:val="00121138"/>
    <w:rPr>
      <w:b/>
      <w:bCs/>
    </w:rPr>
  </w:style>
  <w:style w:type="character" w:customStyle="1" w:styleId="CommentSubjectChar">
    <w:name w:val="Comment Subject Char"/>
    <w:basedOn w:val="CommentTextChar"/>
    <w:link w:val="CommentSubject"/>
    <w:uiPriority w:val="99"/>
    <w:semiHidden/>
    <w:rsid w:val="00121138"/>
    <w:rPr>
      <w:b/>
      <w:bCs/>
      <w:sz w:val="20"/>
      <w:szCs w:val="20"/>
    </w:rPr>
  </w:style>
  <w:style w:type="paragraph" w:styleId="BalloonText">
    <w:name w:val="Balloon Text"/>
    <w:basedOn w:val="Normal"/>
    <w:link w:val="BalloonTextChar"/>
    <w:uiPriority w:val="99"/>
    <w:semiHidden/>
    <w:unhideWhenUsed/>
    <w:rsid w:val="00121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ctorconnect.gov.au/internet/otd/publishing.nsf/content/ra-intr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bs.gov.au/websitedbs/censushome.nsf/home/historicaldata2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ho.int/social_determinants/sdh_definition/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remotehealthatlas.nt.gov.au/hsak_manual.pdf"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aihw.gov.au/indigenous-austral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0" ma:contentTypeDescription="Create a new document." ma:contentTypeScope="" ma:versionID="4e6ad2d8d02c7205e828fa9422d7c0f9">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134ec677ba395bffce41be710e328663"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CFD03-71A6-4556-A8FC-664478DB7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A10F8-3688-4C09-B598-28220B039CBD}">
  <ds:schemaRefs>
    <ds:schemaRef ds:uri="http://schemas.microsoft.com/sharepoint/v3/contenttype/forms"/>
  </ds:schemaRefs>
</ds:datastoreItem>
</file>

<file path=customXml/itemProps3.xml><?xml version="1.0" encoding="utf-8"?>
<ds:datastoreItem xmlns:ds="http://schemas.openxmlformats.org/officeDocument/2006/customXml" ds:itemID="{574B66C8-9AC8-4A88-92C4-127527B9E27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9d41ba9-e8e0-4f47-b574-3308d1a1fff4"/>
    <ds:schemaRef ds:uri="b73d7e88-5fca-4bc7-8c15-17afa20ac4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Christou</dc:creator>
  <cp:keywords/>
  <dc:description/>
  <cp:lastModifiedBy>Karen Anderson</cp:lastModifiedBy>
  <cp:revision>2</cp:revision>
  <dcterms:created xsi:type="dcterms:W3CDTF">2019-08-22T00:37:00Z</dcterms:created>
  <dcterms:modified xsi:type="dcterms:W3CDTF">2019-08-22T00:37:00Z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