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6C8C8" w14:textId="77777777" w:rsidR="008F1289" w:rsidRDefault="008F1289" w:rsidP="008F1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1B6">
        <w:rPr>
          <w:rFonts w:ascii="Verdana" w:hAnsi="Verdana"/>
          <w:b/>
          <w:noProof/>
          <w:sz w:val="40"/>
          <w:szCs w:val="40"/>
        </w:rPr>
        <w:drawing>
          <wp:inline distT="0" distB="0" distL="0" distR="0" wp14:anchorId="58C15E8C" wp14:editId="0D550B1C">
            <wp:extent cx="5279923" cy="599768"/>
            <wp:effectExtent l="0" t="0" r="0" b="0"/>
            <wp:docPr id="2" name="Picture 2" descr="https://cas.seu.edu.sa/ca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s.seu.edu.sa/cas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9A359" w14:textId="76043B84" w:rsidR="00101497" w:rsidRDefault="001331DF" w:rsidP="006D3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Course: Strategic Planning- MGT 510</w:t>
      </w:r>
    </w:p>
    <w:p w14:paraId="661A13E6" w14:textId="7EB4F66B" w:rsidR="008F1289" w:rsidRPr="004A38F8" w:rsidRDefault="008F1289" w:rsidP="00133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B3397"/>
          <w:sz w:val="28"/>
          <w:szCs w:val="28"/>
        </w:rPr>
      </w:pPr>
      <w:r w:rsidRPr="004A38F8">
        <w:rPr>
          <w:rFonts w:ascii="Times New Roman" w:eastAsia="Times New Roman" w:hAnsi="Times New Roman" w:cs="Times New Roman"/>
          <w:b/>
          <w:bCs/>
          <w:color w:val="0B3397"/>
          <w:sz w:val="28"/>
          <w:szCs w:val="28"/>
        </w:rPr>
        <w:t>CRITICAL THINKING</w:t>
      </w:r>
      <w:r w:rsidR="006D3F84">
        <w:rPr>
          <w:rFonts w:ascii="Times New Roman" w:eastAsia="Times New Roman" w:hAnsi="Times New Roman" w:cs="Times New Roman"/>
          <w:b/>
          <w:bCs/>
          <w:color w:val="0B3397"/>
          <w:sz w:val="28"/>
          <w:szCs w:val="28"/>
        </w:rPr>
        <w:t xml:space="preserve"> </w:t>
      </w:r>
      <w:r w:rsidR="00F303F3">
        <w:rPr>
          <w:rFonts w:ascii="Times New Roman" w:eastAsia="Times New Roman" w:hAnsi="Times New Roman" w:cs="Times New Roman"/>
          <w:b/>
          <w:bCs/>
          <w:color w:val="0B3397"/>
          <w:sz w:val="28"/>
          <w:szCs w:val="28"/>
        </w:rPr>
        <w:t>2</w:t>
      </w:r>
    </w:p>
    <w:p w14:paraId="117A437C" w14:textId="77777777" w:rsidR="001331DF" w:rsidRPr="008F1289" w:rsidRDefault="001331DF" w:rsidP="008F1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7BB93A" w14:textId="77777777" w:rsidR="008F1289" w:rsidRDefault="008F1289" w:rsidP="008F1289">
      <w:pPr>
        <w:pStyle w:val="Default"/>
        <w:shd w:val="clear" w:color="auto" w:fill="D9D9D9" w:themeFill="background1" w:themeFillShade="D9"/>
        <w:jc w:val="center"/>
        <w:rPr>
          <w:rFonts w:ascii="Cambria" w:hAnsi="Cambria"/>
          <w:b/>
          <w:bCs/>
          <w:color w:val="002060"/>
          <w:sz w:val="28"/>
          <w:szCs w:val="28"/>
        </w:rPr>
      </w:pPr>
      <w:r>
        <w:rPr>
          <w:rFonts w:ascii="Cambria" w:hAnsi="Cambria"/>
          <w:b/>
          <w:bCs/>
          <w:color w:val="002060"/>
          <w:sz w:val="28"/>
          <w:szCs w:val="28"/>
        </w:rPr>
        <w:t>Regulations:</w:t>
      </w:r>
    </w:p>
    <w:p w14:paraId="177D9CFF" w14:textId="77777777" w:rsidR="008F1289" w:rsidRPr="008F1289" w:rsidRDefault="008F1289" w:rsidP="008F1289">
      <w:pPr>
        <w:pStyle w:val="Default"/>
        <w:shd w:val="clear" w:color="auto" w:fill="FFFFFF" w:themeFill="background1"/>
        <w:jc w:val="center"/>
        <w:rPr>
          <w:rFonts w:ascii="Cambria" w:hAnsi="Cambria"/>
          <w:b/>
          <w:bCs/>
          <w:color w:val="002060"/>
          <w:sz w:val="28"/>
          <w:szCs w:val="28"/>
        </w:rPr>
      </w:pPr>
    </w:p>
    <w:p w14:paraId="48FC9B95" w14:textId="77777777" w:rsidR="008F1289" w:rsidRPr="00A4762B" w:rsidRDefault="00FB52E0" w:rsidP="008F128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assignment</w:t>
      </w:r>
      <w:r w:rsidR="004A38F8">
        <w:rPr>
          <w:rFonts w:ascii="Times New Roman" w:hAnsi="Times New Roman" w:cs="Times New Roman"/>
          <w:sz w:val="24"/>
          <w:szCs w:val="24"/>
        </w:rPr>
        <w:t xml:space="preserve"> is</w:t>
      </w:r>
      <w:r w:rsidR="006C6901">
        <w:rPr>
          <w:rFonts w:ascii="Times New Roman" w:hAnsi="Times New Roman" w:cs="Times New Roman"/>
          <w:sz w:val="24"/>
          <w:szCs w:val="24"/>
        </w:rPr>
        <w:t xml:space="preserve"> an</w:t>
      </w:r>
      <w:r w:rsidR="004A38F8">
        <w:rPr>
          <w:rFonts w:ascii="Times New Roman" w:hAnsi="Times New Roman" w:cs="Times New Roman"/>
          <w:sz w:val="24"/>
          <w:szCs w:val="24"/>
        </w:rPr>
        <w:t xml:space="preserve"> individual assignment</w:t>
      </w:r>
      <w:r w:rsidR="008F1289" w:rsidRPr="00A4762B">
        <w:rPr>
          <w:rFonts w:ascii="Times New Roman" w:hAnsi="Times New Roman" w:cs="Times New Roman"/>
          <w:sz w:val="24"/>
          <w:szCs w:val="24"/>
        </w:rPr>
        <w:t>.</w:t>
      </w:r>
    </w:p>
    <w:p w14:paraId="1DE97EC5" w14:textId="77777777" w:rsidR="008F1289" w:rsidRPr="00A4762B" w:rsidRDefault="008F1289" w:rsidP="008F128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62B">
        <w:rPr>
          <w:rFonts w:ascii="Times New Roman" w:hAnsi="Times New Roman" w:cs="Times New Roman"/>
          <w:sz w:val="24"/>
          <w:szCs w:val="24"/>
        </w:rPr>
        <w:t xml:space="preserve">All students are encouraged to use their own words. </w:t>
      </w:r>
    </w:p>
    <w:p w14:paraId="21B104AA" w14:textId="77777777" w:rsidR="008F1289" w:rsidRPr="00A4762B" w:rsidRDefault="008F1289" w:rsidP="008F128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62B">
        <w:rPr>
          <w:rFonts w:ascii="Times New Roman" w:hAnsi="Times New Roman" w:cs="Times New Roman"/>
          <w:sz w:val="24"/>
          <w:szCs w:val="24"/>
        </w:rPr>
        <w:t xml:space="preserve">Student must apply </w:t>
      </w:r>
      <w:r w:rsidRPr="00A4762B">
        <w:rPr>
          <w:rFonts w:ascii="Times New Roman" w:eastAsia="Times New Roman" w:hAnsi="Times New Roman" w:cs="Times New Roman"/>
          <w:sz w:val="24"/>
          <w:szCs w:val="24"/>
        </w:rPr>
        <w:t xml:space="preserve">Saudi Electronic University academic writing standards and </w:t>
      </w:r>
      <w:r w:rsidRPr="001C69AF">
        <w:rPr>
          <w:rFonts w:ascii="Times New Roman" w:eastAsia="Times New Roman" w:hAnsi="Times New Roman" w:cs="Times New Roman"/>
          <w:b/>
          <w:bCs/>
          <w:sz w:val="24"/>
          <w:szCs w:val="24"/>
        </w:rPr>
        <w:t>APA style guidelines</w:t>
      </w:r>
      <w:r w:rsidRPr="00A47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CB0F9" w14:textId="77777777" w:rsidR="008F1289" w:rsidRPr="00A4762B" w:rsidRDefault="008F1289" w:rsidP="008F12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62B">
        <w:rPr>
          <w:rFonts w:ascii="Times New Roman" w:eastAsia="Times New Roman" w:hAnsi="Times New Roman" w:cs="Times New Roman"/>
          <w:sz w:val="24"/>
          <w:szCs w:val="24"/>
        </w:rPr>
        <w:t>Support your submission with course material concepts, principles, and theories from the textbook along with </w:t>
      </w:r>
      <w:r w:rsidRPr="00A4762B">
        <w:rPr>
          <w:rFonts w:ascii="Times New Roman" w:eastAsia="Times New Roman" w:hAnsi="Times New Roman" w:cs="Times New Roman"/>
          <w:b/>
          <w:bCs/>
          <w:sz w:val="24"/>
          <w:szCs w:val="24"/>
        </w:rPr>
        <w:t>at least two scholarly, peer-reviewed journal articles.</w:t>
      </w:r>
    </w:p>
    <w:p w14:paraId="44EDF14F" w14:textId="77777777" w:rsidR="008F1289" w:rsidRPr="00A4762B" w:rsidRDefault="008F1289" w:rsidP="008F128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62B">
        <w:rPr>
          <w:rFonts w:ascii="Times New Roman" w:hAnsi="Times New Roman" w:cs="Times New Roman"/>
          <w:sz w:val="24"/>
          <w:szCs w:val="24"/>
        </w:rPr>
        <w:t xml:space="preserve">A mark of </w:t>
      </w:r>
      <w:r w:rsidRPr="001C69AF">
        <w:rPr>
          <w:rFonts w:ascii="Times New Roman" w:hAnsi="Times New Roman" w:cs="Times New Roman"/>
          <w:b/>
          <w:bCs/>
          <w:sz w:val="24"/>
          <w:szCs w:val="24"/>
        </w:rPr>
        <w:t xml:space="preserve">zero </w:t>
      </w:r>
      <w:r w:rsidRPr="00A4762B">
        <w:rPr>
          <w:rFonts w:ascii="Times New Roman" w:hAnsi="Times New Roman" w:cs="Times New Roman"/>
          <w:sz w:val="24"/>
          <w:szCs w:val="24"/>
        </w:rPr>
        <w:t xml:space="preserve">will be given for any submission that includes copying from other resource without referencing it. </w:t>
      </w:r>
    </w:p>
    <w:p w14:paraId="774F4E05" w14:textId="77777777" w:rsidR="008F1289" w:rsidRPr="00A4762B" w:rsidRDefault="008F1289" w:rsidP="00FB52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62B">
        <w:rPr>
          <w:rFonts w:ascii="Times New Roman" w:eastAsia="Times New Roman" w:hAnsi="Times New Roman" w:cs="Times New Roman"/>
          <w:sz w:val="24"/>
          <w:szCs w:val="24"/>
        </w:rPr>
        <w:t xml:space="preserve">Write at least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4-5 </w:t>
      </w:r>
      <w:r w:rsidRPr="00A4762B">
        <w:rPr>
          <w:rFonts w:ascii="Times New Roman" w:eastAsia="Times New Roman" w:hAnsi="Times New Roman" w:cs="Times New Roman"/>
          <w:b/>
          <w:sz w:val="24"/>
          <w:szCs w:val="24"/>
        </w:rPr>
        <w:t>pages</w:t>
      </w:r>
      <w:r w:rsidR="00FB52E0">
        <w:rPr>
          <w:rFonts w:ascii="Times New Roman" w:eastAsia="Times New Roman" w:hAnsi="Times New Roman" w:cs="Times New Roman"/>
          <w:sz w:val="24"/>
          <w:szCs w:val="24"/>
        </w:rPr>
        <w:t xml:space="preserve"> in length</w:t>
      </w:r>
      <w:r w:rsidRPr="00A476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762B">
        <w:rPr>
          <w:rFonts w:ascii="Times New Roman" w:eastAsia="Times New Roman" w:hAnsi="Times New Roman" w:cs="Times New Roman"/>
          <w:b/>
          <w:sz w:val="24"/>
          <w:szCs w:val="24"/>
        </w:rPr>
        <w:t>excluding</w:t>
      </w:r>
      <w:r w:rsidRPr="00A4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title </w:t>
      </w:r>
      <w:r w:rsidRPr="00A4762B">
        <w:rPr>
          <w:rFonts w:ascii="Times New Roman" w:eastAsia="Times New Roman" w:hAnsi="Times New Roman" w:cs="Times New Roman"/>
          <w:b/>
          <w:sz w:val="24"/>
          <w:szCs w:val="24"/>
        </w:rPr>
        <w:t xml:space="preserve">page, abstract and required reference page, </w:t>
      </w:r>
      <w:r w:rsidRPr="00A4762B">
        <w:rPr>
          <w:rFonts w:ascii="Times New Roman" w:eastAsia="Times New Roman" w:hAnsi="Times New Roman" w:cs="Times New Roman"/>
          <w:sz w:val="24"/>
          <w:szCs w:val="24"/>
        </w:rPr>
        <w:t>which are never a part of the minimum content requirements.</w:t>
      </w:r>
    </w:p>
    <w:p w14:paraId="38710C5B" w14:textId="77777777" w:rsidR="008F1289" w:rsidRPr="00A4762B" w:rsidRDefault="008F1289" w:rsidP="008F12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62B">
        <w:rPr>
          <w:rFonts w:ascii="Times New Roman" w:eastAsia="Times New Roman" w:hAnsi="Times New Roman" w:cs="Times New Roman"/>
          <w:sz w:val="24"/>
          <w:szCs w:val="24"/>
        </w:rPr>
        <w:t>It is strongly encou</w:t>
      </w:r>
      <w:r w:rsidR="00FB52E0">
        <w:rPr>
          <w:rFonts w:ascii="Times New Roman" w:eastAsia="Times New Roman" w:hAnsi="Times New Roman" w:cs="Times New Roman"/>
          <w:sz w:val="24"/>
          <w:szCs w:val="24"/>
        </w:rPr>
        <w:t>raged that you should submit your assignment</w:t>
      </w:r>
      <w:r w:rsidRPr="00A4762B">
        <w:rPr>
          <w:rFonts w:ascii="Times New Roman" w:eastAsia="Times New Roman" w:hAnsi="Times New Roman" w:cs="Times New Roman"/>
          <w:sz w:val="24"/>
          <w:szCs w:val="24"/>
        </w:rPr>
        <w:t xml:space="preserve"> into the safe assignment Originality Check prior to submitting it to your instructor for grading. </w:t>
      </w:r>
    </w:p>
    <w:p w14:paraId="63F3C052" w14:textId="77777777" w:rsidR="008F1289" w:rsidRDefault="008F1289" w:rsidP="008F1289">
      <w:pPr>
        <w:pStyle w:val="NoSpacing"/>
        <w:rPr>
          <w:rFonts w:ascii="Cambria" w:hAnsi="Cambria" w:cs="Calibri"/>
          <w:b/>
          <w:bCs/>
          <w:color w:val="002060"/>
          <w:sz w:val="28"/>
          <w:szCs w:val="28"/>
          <w:u w:val="single"/>
        </w:rPr>
      </w:pPr>
    </w:p>
    <w:p w14:paraId="1925EBA6" w14:textId="77777777" w:rsidR="008F1289" w:rsidRDefault="008F1289" w:rsidP="008F1289">
      <w:pPr>
        <w:pStyle w:val="NoSpacing"/>
        <w:rPr>
          <w:rFonts w:ascii="Cambria" w:hAnsi="Cambria"/>
          <w:color w:val="002060"/>
          <w:sz w:val="24"/>
          <w:szCs w:val="24"/>
          <w:u w:val="single"/>
        </w:rPr>
      </w:pPr>
      <w:r w:rsidRPr="00B64911">
        <w:rPr>
          <w:rFonts w:ascii="Cambria" w:hAnsi="Cambria" w:cs="Calibri"/>
          <w:b/>
          <w:bCs/>
          <w:color w:val="002060"/>
          <w:sz w:val="28"/>
          <w:szCs w:val="28"/>
          <w:u w:val="single"/>
        </w:rPr>
        <w:t>A</w:t>
      </w:r>
      <w:r>
        <w:rPr>
          <w:rFonts w:ascii="Cambria" w:hAnsi="Cambria" w:cs="Calibri"/>
          <w:b/>
          <w:bCs/>
          <w:color w:val="002060"/>
          <w:sz w:val="28"/>
          <w:szCs w:val="28"/>
          <w:u w:val="single"/>
        </w:rPr>
        <w:t>n Overv</w:t>
      </w:r>
      <w:r w:rsidRPr="00B64911">
        <w:rPr>
          <w:rFonts w:ascii="Cambria" w:hAnsi="Cambria" w:cs="Calibri"/>
          <w:b/>
          <w:bCs/>
          <w:color w:val="002060"/>
          <w:sz w:val="28"/>
          <w:szCs w:val="28"/>
          <w:u w:val="single"/>
        </w:rPr>
        <w:t xml:space="preserve">iew </w:t>
      </w:r>
      <w:r>
        <w:rPr>
          <w:rFonts w:ascii="Cambria" w:hAnsi="Cambria" w:cs="Calibri"/>
          <w:bCs/>
          <w:color w:val="002060"/>
          <w:sz w:val="24"/>
          <w:szCs w:val="24"/>
          <w:u w:val="single"/>
        </w:rPr>
        <w:t>a</w:t>
      </w:r>
      <w:r w:rsidRPr="00CF3049">
        <w:rPr>
          <w:rFonts w:ascii="Cambria" w:hAnsi="Cambria" w:cs="Calibri"/>
          <w:bCs/>
          <w:color w:val="002060"/>
          <w:sz w:val="24"/>
          <w:szCs w:val="24"/>
          <w:u w:val="single"/>
        </w:rPr>
        <w:t>bout</w:t>
      </w:r>
      <w:r w:rsidRPr="00B64911">
        <w:rPr>
          <w:rFonts w:ascii="Cambria" w:hAnsi="Cambria" w:cs="Calibri"/>
          <w:b/>
          <w:bCs/>
          <w:color w:val="002060"/>
          <w:sz w:val="24"/>
          <w:szCs w:val="24"/>
          <w:u w:val="single"/>
        </w:rPr>
        <w:t xml:space="preserve"> </w:t>
      </w:r>
      <w:r>
        <w:rPr>
          <w:rFonts w:ascii="Cambria" w:hAnsi="Cambria" w:cs="Calibri"/>
          <w:bCs/>
          <w:color w:val="002060"/>
          <w:sz w:val="24"/>
          <w:szCs w:val="24"/>
          <w:u w:val="single"/>
        </w:rPr>
        <w:t>Assignment</w:t>
      </w:r>
      <w:r w:rsidRPr="00B64911">
        <w:rPr>
          <w:rFonts w:ascii="Cambria" w:hAnsi="Cambria" w:cs="Calibri"/>
          <w:bCs/>
          <w:color w:val="002060"/>
          <w:sz w:val="24"/>
          <w:szCs w:val="24"/>
          <w:u w:val="single"/>
        </w:rPr>
        <w:t xml:space="preserve"> </w:t>
      </w:r>
      <w:r>
        <w:rPr>
          <w:rFonts w:ascii="Cambria" w:hAnsi="Cambria" w:cs="Calibri"/>
          <w:bCs/>
          <w:color w:val="002060"/>
          <w:sz w:val="24"/>
          <w:szCs w:val="24"/>
          <w:u w:val="single"/>
        </w:rPr>
        <w:t>s</w:t>
      </w:r>
      <w:r w:rsidRPr="00B64911">
        <w:rPr>
          <w:rFonts w:ascii="Cambria" w:hAnsi="Cambria" w:cs="Calibri"/>
          <w:bCs/>
          <w:color w:val="002060"/>
          <w:sz w:val="24"/>
          <w:szCs w:val="24"/>
          <w:u w:val="single"/>
        </w:rPr>
        <w:t xml:space="preserve">ubmission Time &amp; </w:t>
      </w:r>
      <w:r>
        <w:rPr>
          <w:rFonts w:ascii="Cambria" w:hAnsi="Cambria" w:cs="Calibri"/>
          <w:bCs/>
          <w:color w:val="002060"/>
          <w:sz w:val="24"/>
          <w:szCs w:val="24"/>
          <w:u w:val="single"/>
        </w:rPr>
        <w:t>grades</w:t>
      </w:r>
      <w:r w:rsidRPr="00B64911">
        <w:rPr>
          <w:rFonts w:ascii="Cambria" w:hAnsi="Cambria" w:cs="Calibri"/>
          <w:bCs/>
          <w:color w:val="002060"/>
          <w:sz w:val="24"/>
          <w:szCs w:val="24"/>
          <w:u w:val="single"/>
        </w:rPr>
        <w:t>:</w:t>
      </w:r>
    </w:p>
    <w:p w14:paraId="5ECDFB52" w14:textId="77777777" w:rsidR="008F1289" w:rsidRDefault="008F1289" w:rsidP="008F1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787"/>
        <w:gridCol w:w="1998"/>
        <w:gridCol w:w="1367"/>
        <w:gridCol w:w="1367"/>
      </w:tblGrid>
      <w:tr w:rsidR="004328D6" w:rsidRPr="00F50CFF" w14:paraId="70E4A32A" w14:textId="77777777" w:rsidTr="004328D6">
        <w:trPr>
          <w:trHeight w:val="729"/>
          <w:jc w:val="center"/>
        </w:trPr>
        <w:tc>
          <w:tcPr>
            <w:tcW w:w="2629" w:type="dxa"/>
            <w:shd w:val="clear" w:color="auto" w:fill="F4B083" w:themeFill="accent2" w:themeFillTint="99"/>
          </w:tcPr>
          <w:p w14:paraId="1F2F6596" w14:textId="77777777" w:rsidR="004328D6" w:rsidRPr="004328D6" w:rsidRDefault="004328D6" w:rsidP="005D591A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328D6">
              <w:rPr>
                <w:rFonts w:ascii="Times New Roman" w:hAnsi="Times New Roman" w:cs="Times New Roman"/>
                <w:b/>
                <w:bCs/>
                <w:color w:val="002060"/>
              </w:rPr>
              <w:t>Type of Assignment</w:t>
            </w:r>
          </w:p>
        </w:tc>
        <w:tc>
          <w:tcPr>
            <w:tcW w:w="1787" w:type="dxa"/>
            <w:shd w:val="clear" w:color="auto" w:fill="F4B083" w:themeFill="accent2" w:themeFillTint="99"/>
          </w:tcPr>
          <w:p w14:paraId="7858FB70" w14:textId="77777777" w:rsidR="004328D6" w:rsidRPr="004328D6" w:rsidRDefault="004328D6" w:rsidP="005D591A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328D6">
              <w:rPr>
                <w:rFonts w:ascii="Times New Roman" w:hAnsi="Times New Roman" w:cs="Times New Roman"/>
                <w:b/>
                <w:bCs/>
                <w:color w:val="002060"/>
              </w:rPr>
              <w:t>Posting date</w:t>
            </w:r>
          </w:p>
        </w:tc>
        <w:tc>
          <w:tcPr>
            <w:tcW w:w="1998" w:type="dxa"/>
            <w:shd w:val="clear" w:color="auto" w:fill="F4B083" w:themeFill="accent2" w:themeFillTint="99"/>
          </w:tcPr>
          <w:p w14:paraId="08B2F0A0" w14:textId="77777777" w:rsidR="004328D6" w:rsidRPr="004328D6" w:rsidRDefault="004328D6" w:rsidP="005D591A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328D6">
              <w:rPr>
                <w:rFonts w:ascii="Times New Roman" w:hAnsi="Times New Roman" w:cs="Times New Roman"/>
                <w:b/>
                <w:color w:val="002060"/>
              </w:rPr>
              <w:t>Due date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C5E432" w14:textId="77777777" w:rsidR="004328D6" w:rsidRPr="004328D6" w:rsidRDefault="004328D6" w:rsidP="005D591A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328D6">
              <w:rPr>
                <w:rFonts w:ascii="Times New Roman" w:hAnsi="Times New Roman" w:cs="Times New Roman"/>
                <w:b/>
                <w:color w:val="002060"/>
              </w:rPr>
              <w:t>Marks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9D0233C" w14:textId="77777777" w:rsidR="004328D6" w:rsidRPr="004328D6" w:rsidRDefault="004328D6" w:rsidP="004328D6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Grace period</w:t>
            </w:r>
            <w:r>
              <w:rPr>
                <w:rFonts w:ascii="Times New Roman" w:hAnsi="Times New Roman" w:cs="Times New Roman"/>
                <w:b/>
                <w:color w:val="00206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4328D6" w:rsidRPr="00F50CFF" w14:paraId="20EE107D" w14:textId="77777777" w:rsidTr="004328D6">
        <w:trPr>
          <w:trHeight w:val="445"/>
          <w:jc w:val="center"/>
        </w:trPr>
        <w:tc>
          <w:tcPr>
            <w:tcW w:w="2629" w:type="dxa"/>
            <w:shd w:val="clear" w:color="auto" w:fill="FFFFFF" w:themeFill="background1"/>
          </w:tcPr>
          <w:p w14:paraId="0E547174" w14:textId="77777777" w:rsidR="004328D6" w:rsidRPr="00F50CFF" w:rsidRDefault="004328D6" w:rsidP="005D591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Critical thinking</w:t>
            </w:r>
          </w:p>
        </w:tc>
        <w:tc>
          <w:tcPr>
            <w:tcW w:w="1787" w:type="dxa"/>
            <w:shd w:val="clear" w:color="auto" w:fill="FFFFFF" w:themeFill="background1"/>
          </w:tcPr>
          <w:p w14:paraId="589137E5" w14:textId="77777777" w:rsidR="004328D6" w:rsidRPr="00F50CFF" w:rsidRDefault="006C6901" w:rsidP="006C690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Start of </w:t>
            </w:r>
            <w:r w:rsidR="00F303F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week 3</w:t>
            </w:r>
          </w:p>
        </w:tc>
        <w:tc>
          <w:tcPr>
            <w:tcW w:w="1998" w:type="dxa"/>
            <w:shd w:val="clear" w:color="auto" w:fill="FFFFFF" w:themeFill="background1"/>
          </w:tcPr>
          <w:p w14:paraId="561A3457" w14:textId="77777777" w:rsidR="004328D6" w:rsidRPr="00F50CFF" w:rsidRDefault="00F303F3" w:rsidP="005D591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End of Week 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6D9E0" w14:textId="77777777" w:rsidR="004328D6" w:rsidRPr="00F50CFF" w:rsidRDefault="004328D6" w:rsidP="005D591A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15246" w14:textId="77777777" w:rsidR="004328D6" w:rsidRPr="00F50CFF" w:rsidRDefault="004328D6" w:rsidP="004328D6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days</w:t>
            </w:r>
          </w:p>
        </w:tc>
      </w:tr>
    </w:tbl>
    <w:p w14:paraId="67FB42B5" w14:textId="77777777" w:rsidR="004328D6" w:rsidRPr="00FB52E0" w:rsidRDefault="001331DF" w:rsidP="004328D6">
      <w:pPr>
        <w:spacing w:before="100" w:beforeAutospacing="1" w:after="100" w:afterAutospacing="1" w:line="240" w:lineRule="auto"/>
        <w:rPr>
          <w:rFonts w:ascii="Book Antiqua" w:hAnsi="Book Antiqua"/>
          <w:sz w:val="20"/>
          <w:szCs w:val="20"/>
        </w:rPr>
      </w:pPr>
      <w:r w:rsidRPr="00FB52E0">
        <w:rPr>
          <w:rFonts w:ascii="Book Antiqua" w:hAnsi="Book Antiqua"/>
          <w:sz w:val="20"/>
          <w:szCs w:val="20"/>
        </w:rPr>
        <w:t>* G</w:t>
      </w:r>
      <w:r w:rsidR="004328D6" w:rsidRPr="00FB52E0">
        <w:rPr>
          <w:rFonts w:ascii="Book Antiqua" w:hAnsi="Book Antiqua"/>
          <w:sz w:val="20"/>
          <w:szCs w:val="20"/>
        </w:rPr>
        <w:t>race Period</w:t>
      </w:r>
      <w:r w:rsidR="00CC5BC9">
        <w:rPr>
          <w:rFonts w:ascii="Book Antiqua" w:hAnsi="Book Antiqua"/>
          <w:sz w:val="20"/>
          <w:szCs w:val="20"/>
        </w:rPr>
        <w:t>:</w:t>
      </w:r>
      <w:r w:rsidR="004328D6" w:rsidRPr="00FB52E0">
        <w:rPr>
          <w:rFonts w:ascii="Book Antiqua" w:hAnsi="Book Antiqua"/>
          <w:sz w:val="20"/>
          <w:szCs w:val="20"/>
        </w:rPr>
        <w:t xml:space="preserve"> with accepted excuse (accepted by instructor) with deduction of 10% for late submission</w:t>
      </w:r>
    </w:p>
    <w:p w14:paraId="2D3AF58B" w14:textId="77777777" w:rsidR="008F1289" w:rsidRDefault="008F1289" w:rsidP="008F1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A9C87" w14:textId="77777777" w:rsidR="008F1289" w:rsidRDefault="008F1289" w:rsidP="008F1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3C860" w14:textId="77777777" w:rsidR="008F1289" w:rsidRDefault="008F1289" w:rsidP="008F1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AE2D8" w14:textId="77777777" w:rsidR="001331DF" w:rsidRDefault="001331DF" w:rsidP="008F1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6B706" w14:textId="77777777" w:rsidR="006D3F84" w:rsidRDefault="001331DF" w:rsidP="00F30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B3397"/>
          <w:sz w:val="24"/>
          <w:szCs w:val="24"/>
        </w:rPr>
      </w:pPr>
      <w:r w:rsidRPr="004A38F8">
        <w:rPr>
          <w:rFonts w:ascii="Times New Roman" w:eastAsia="Times New Roman" w:hAnsi="Times New Roman" w:cs="Times New Roman"/>
          <w:b/>
          <w:bCs/>
          <w:color w:val="0B3397"/>
          <w:sz w:val="28"/>
          <w:szCs w:val="28"/>
        </w:rPr>
        <w:lastRenderedPageBreak/>
        <w:t>Critical thinking</w:t>
      </w:r>
      <w:r w:rsidR="00F303F3">
        <w:rPr>
          <w:rFonts w:ascii="Times New Roman" w:eastAsia="Times New Roman" w:hAnsi="Times New Roman" w:cs="Times New Roman"/>
          <w:b/>
          <w:bCs/>
          <w:color w:val="0B3397"/>
          <w:sz w:val="28"/>
          <w:szCs w:val="28"/>
        </w:rPr>
        <w:t xml:space="preserve"> 2</w:t>
      </w:r>
      <w:r w:rsidRPr="004A38F8">
        <w:rPr>
          <w:rFonts w:ascii="Times New Roman" w:eastAsia="Times New Roman" w:hAnsi="Times New Roman" w:cs="Times New Roman"/>
          <w:b/>
          <w:bCs/>
          <w:color w:val="0B3397"/>
          <w:sz w:val="24"/>
          <w:szCs w:val="24"/>
        </w:rPr>
        <w:t xml:space="preserve">: </w:t>
      </w:r>
      <w:r w:rsidR="00F303F3">
        <w:rPr>
          <w:rFonts w:ascii="Times New Roman" w:eastAsia="Times New Roman" w:hAnsi="Times New Roman" w:cs="Times New Roman"/>
          <w:b/>
          <w:bCs/>
          <w:color w:val="0B3397"/>
          <w:sz w:val="24"/>
          <w:szCs w:val="24"/>
        </w:rPr>
        <w:t xml:space="preserve"> </w:t>
      </w:r>
    </w:p>
    <w:p w14:paraId="70CD3562" w14:textId="56AF23A1" w:rsidR="001331DF" w:rsidRPr="004A38F8" w:rsidRDefault="00101497" w:rsidP="00F30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B339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B3397"/>
          <w:sz w:val="28"/>
          <w:szCs w:val="28"/>
        </w:rPr>
        <w:t>Sources and Dimensions of Competitive Advantage</w:t>
      </w:r>
    </w:p>
    <w:p w14:paraId="0B85E44C" w14:textId="77777777" w:rsidR="002F6A81" w:rsidRDefault="002F6A81" w:rsidP="004A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93ED2F" w14:textId="32297F39" w:rsidR="0068020E" w:rsidRPr="002C39B4" w:rsidRDefault="00D1758F" w:rsidP="006D3F8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758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01497" w:rsidRPr="002C39B4">
        <w:rPr>
          <w:rFonts w:asciiTheme="majorBidi" w:eastAsia="Times New Roman" w:hAnsiTheme="majorBidi" w:cstheme="majorBidi"/>
          <w:sz w:val="24"/>
          <w:szCs w:val="24"/>
        </w:rPr>
        <w:t>Ensuring competitive advantage is o</w:t>
      </w:r>
      <w:r w:rsidRPr="002C39B4">
        <w:rPr>
          <w:rFonts w:asciiTheme="majorBidi" w:eastAsiaTheme="minorHAnsi" w:hAnsiTheme="majorBidi" w:cstheme="majorBidi"/>
          <w:sz w:val="24"/>
          <w:szCs w:val="24"/>
        </w:rPr>
        <w:t xml:space="preserve">ne </w:t>
      </w:r>
      <w:r w:rsidR="00101497" w:rsidRPr="002C39B4">
        <w:rPr>
          <w:rFonts w:asciiTheme="majorBidi" w:eastAsiaTheme="minorHAnsi" w:hAnsiTheme="majorBidi" w:cstheme="majorBidi"/>
          <w:sz w:val="24"/>
          <w:szCs w:val="24"/>
        </w:rPr>
        <w:t>of the most</w:t>
      </w:r>
      <w:r w:rsidRPr="002C39B4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101497" w:rsidRPr="002C39B4">
        <w:rPr>
          <w:rFonts w:asciiTheme="majorBidi" w:eastAsiaTheme="minorHAnsi" w:hAnsiTheme="majorBidi" w:cstheme="majorBidi"/>
          <w:sz w:val="24"/>
          <w:szCs w:val="24"/>
        </w:rPr>
        <w:t>important</w:t>
      </w:r>
      <w:r w:rsidRPr="002C39B4">
        <w:rPr>
          <w:rFonts w:asciiTheme="majorBidi" w:eastAsiaTheme="minorHAnsi" w:hAnsiTheme="majorBidi" w:cstheme="majorBidi"/>
          <w:sz w:val="24"/>
          <w:szCs w:val="24"/>
        </w:rPr>
        <w:t xml:space="preserve"> challenges</w:t>
      </w:r>
      <w:r w:rsidR="00101497" w:rsidRPr="002C39B4">
        <w:rPr>
          <w:rFonts w:asciiTheme="majorBidi" w:eastAsiaTheme="minorHAnsi" w:hAnsiTheme="majorBidi" w:cstheme="majorBidi"/>
          <w:sz w:val="24"/>
          <w:szCs w:val="24"/>
        </w:rPr>
        <w:t xml:space="preserve"> for </w:t>
      </w:r>
      <w:r w:rsidR="00273D06" w:rsidRPr="002C39B4">
        <w:rPr>
          <w:rFonts w:asciiTheme="majorBidi" w:eastAsiaTheme="minorHAnsi" w:hAnsiTheme="majorBidi" w:cstheme="majorBidi"/>
          <w:sz w:val="24"/>
          <w:szCs w:val="24"/>
        </w:rPr>
        <w:t>organizations, which</w:t>
      </w:r>
      <w:r w:rsidR="00101497" w:rsidRPr="002C39B4">
        <w:rPr>
          <w:rFonts w:asciiTheme="majorBidi" w:eastAsiaTheme="minorHAnsi" w:hAnsiTheme="majorBidi" w:cstheme="majorBidi"/>
          <w:sz w:val="24"/>
          <w:szCs w:val="24"/>
        </w:rPr>
        <w:t xml:space="preserve"> aim at </w:t>
      </w:r>
      <w:r w:rsidRPr="002C39B4">
        <w:rPr>
          <w:rFonts w:asciiTheme="majorBidi" w:eastAsiaTheme="minorHAnsi" w:hAnsiTheme="majorBidi" w:cstheme="majorBidi"/>
          <w:sz w:val="24"/>
          <w:szCs w:val="24"/>
        </w:rPr>
        <w:t>ensur</w:t>
      </w:r>
      <w:r w:rsidR="00101497" w:rsidRPr="002C39B4">
        <w:rPr>
          <w:rFonts w:asciiTheme="majorBidi" w:eastAsiaTheme="minorHAnsi" w:hAnsiTheme="majorBidi" w:cstheme="majorBidi"/>
          <w:sz w:val="24"/>
          <w:szCs w:val="24"/>
        </w:rPr>
        <w:t>ing</w:t>
      </w:r>
      <w:r w:rsidRPr="002C39B4">
        <w:rPr>
          <w:rFonts w:asciiTheme="majorBidi" w:eastAsiaTheme="minorHAnsi" w:hAnsiTheme="majorBidi" w:cstheme="majorBidi"/>
          <w:sz w:val="24"/>
          <w:szCs w:val="24"/>
        </w:rPr>
        <w:t xml:space="preserve"> th</w:t>
      </w:r>
      <w:r w:rsidR="00101497" w:rsidRPr="002C39B4">
        <w:rPr>
          <w:rFonts w:asciiTheme="majorBidi" w:eastAsiaTheme="minorHAnsi" w:hAnsiTheme="majorBidi" w:cstheme="majorBidi"/>
          <w:sz w:val="24"/>
          <w:szCs w:val="24"/>
        </w:rPr>
        <w:t xml:space="preserve">e profitability and continuity. For </w:t>
      </w:r>
      <w:r w:rsidR="00273D06" w:rsidRPr="002C39B4">
        <w:rPr>
          <w:rFonts w:asciiTheme="majorBidi" w:eastAsiaTheme="minorHAnsi" w:hAnsiTheme="majorBidi" w:cstheme="majorBidi"/>
          <w:sz w:val="24"/>
          <w:szCs w:val="24"/>
        </w:rPr>
        <w:t>that,</w:t>
      </w:r>
      <w:r w:rsidR="00101497" w:rsidRPr="002C39B4">
        <w:rPr>
          <w:rFonts w:asciiTheme="majorBidi" w:eastAsiaTheme="minorHAnsi" w:hAnsiTheme="majorBidi" w:cstheme="majorBidi"/>
          <w:sz w:val="24"/>
          <w:szCs w:val="24"/>
        </w:rPr>
        <w:t xml:space="preserve"> it is important to know the different sources of competitive advantage and to analyze its dimensions.</w:t>
      </w:r>
      <w:r w:rsidR="00E54431" w:rsidRPr="002C39B4">
        <w:rPr>
          <w:rFonts w:asciiTheme="majorBidi" w:hAnsiTheme="majorBidi" w:cstheme="majorBidi"/>
          <w:sz w:val="24"/>
          <w:szCs w:val="24"/>
        </w:rPr>
        <w:t xml:space="preserve"> </w:t>
      </w:r>
      <w:r w:rsidR="006D3F84" w:rsidRPr="002C39B4">
        <w:rPr>
          <w:rFonts w:asciiTheme="majorBidi" w:hAnsiTheme="majorBidi" w:cstheme="majorBidi"/>
          <w:sz w:val="24"/>
          <w:szCs w:val="24"/>
        </w:rPr>
        <w:t>T</w:t>
      </w:r>
      <w:r w:rsidRPr="002C39B4">
        <w:rPr>
          <w:rFonts w:asciiTheme="majorBidi" w:eastAsia="Times New Roman" w:hAnsiTheme="majorBidi" w:cstheme="majorBidi"/>
          <w:sz w:val="24"/>
          <w:szCs w:val="24"/>
        </w:rPr>
        <w:t xml:space="preserve">o prepare for this assignment, review </w:t>
      </w:r>
      <w:r w:rsidRPr="002C39B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the chapter </w:t>
      </w:r>
      <w:r w:rsidR="00101497" w:rsidRPr="002C39B4">
        <w:rPr>
          <w:rFonts w:asciiTheme="majorBidi" w:eastAsia="Times New Roman" w:hAnsiTheme="majorBidi" w:cstheme="majorBidi"/>
          <w:b/>
          <w:bCs/>
          <w:sz w:val="24"/>
          <w:szCs w:val="24"/>
        </w:rPr>
        <w:t>7</w:t>
      </w:r>
      <w:r w:rsidR="00D51AAF" w:rsidRPr="002C39B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and 8</w:t>
      </w:r>
      <w:r w:rsidR="006D3F84" w:rsidRPr="002C39B4">
        <w:rPr>
          <w:rFonts w:asciiTheme="majorBidi" w:eastAsia="Times New Roman" w:hAnsiTheme="majorBidi" w:cstheme="majorBidi"/>
          <w:sz w:val="24"/>
          <w:szCs w:val="24"/>
        </w:rPr>
        <w:t xml:space="preserve"> from your textbook</w:t>
      </w:r>
      <w:r w:rsidRPr="002C39B4">
        <w:rPr>
          <w:rFonts w:asciiTheme="majorBidi" w:eastAsia="Times New Roman" w:hAnsiTheme="majorBidi" w:cstheme="majorBidi"/>
          <w:sz w:val="24"/>
          <w:szCs w:val="24"/>
        </w:rPr>
        <w:t xml:space="preserve"> and the following </w:t>
      </w:r>
      <w:r w:rsidRPr="002C39B4">
        <w:rPr>
          <w:rFonts w:asciiTheme="majorBidi" w:eastAsia="Times New Roman" w:hAnsiTheme="majorBidi" w:cstheme="majorBidi"/>
          <w:b/>
          <w:bCs/>
          <w:sz w:val="24"/>
          <w:szCs w:val="24"/>
        </w:rPr>
        <w:t>two articles</w:t>
      </w:r>
      <w:r w:rsidRPr="002C39B4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7FEF90C" w14:textId="77777777" w:rsidR="00F16AAC" w:rsidRPr="002C39B4" w:rsidRDefault="00F16AAC" w:rsidP="00D1758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A442D72" w14:textId="75758F6D" w:rsidR="00A04B3A" w:rsidRPr="002C39B4" w:rsidRDefault="00A04B3A" w:rsidP="004E0E60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r w:rsidRPr="002C39B4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>(1).</w:t>
      </w:r>
      <w:r w:rsidRPr="002C39B4">
        <w:rPr>
          <w:rFonts w:asciiTheme="majorBidi" w:hAnsiTheme="majorBidi" w:cstheme="majorBidi"/>
          <w:color w:val="C45911" w:themeColor="accent2" w:themeShade="BF"/>
          <w:sz w:val="24"/>
          <w:szCs w:val="24"/>
        </w:rPr>
        <w:t xml:space="preserve"> </w:t>
      </w:r>
      <w:r w:rsidRPr="002C39B4">
        <w:rPr>
          <w:rFonts w:asciiTheme="majorBidi" w:hAnsiTheme="majorBidi" w:cstheme="majorBidi"/>
          <w:sz w:val="24"/>
          <w:szCs w:val="24"/>
        </w:rPr>
        <w:t>Chiu, C.N. and Yang, C.L. (2019). Competitive advantage and simultaneous mutual influences between information technology adoption and service innovation: Moderating effects of environmental factors</w:t>
      </w:r>
      <w:r w:rsidRPr="002C39B4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, </w:t>
      </w:r>
      <w:r w:rsidRPr="002C39B4">
        <w:rPr>
          <w:rFonts w:asciiTheme="majorBidi" w:hAnsiTheme="majorBidi" w:cstheme="majorBidi"/>
          <w:i/>
          <w:iCs/>
          <w:sz w:val="24"/>
          <w:szCs w:val="24"/>
        </w:rPr>
        <w:t>Structural Change and Economic Dynamics</w:t>
      </w:r>
      <w:r w:rsidRPr="002C39B4">
        <w:rPr>
          <w:rFonts w:asciiTheme="majorBidi" w:hAnsiTheme="majorBidi" w:cstheme="majorBidi"/>
          <w:sz w:val="24"/>
          <w:szCs w:val="24"/>
        </w:rPr>
        <w:t xml:space="preserve">, 49, 92-205. Available via this link: </w:t>
      </w:r>
      <w:hyperlink r:id="rId7" w:history="1">
        <w:r w:rsidRPr="002C39B4">
          <w:rPr>
            <w:rStyle w:val="Hyperlink"/>
            <w:rFonts w:asciiTheme="majorBidi" w:hAnsiTheme="majorBidi" w:cstheme="majorBidi"/>
            <w:sz w:val="24"/>
            <w:szCs w:val="24"/>
          </w:rPr>
          <w:t>https://www.sciencedirect.com/science/article/abs/pii/S0954349X17301947?via%3Dihub</w:t>
        </w:r>
      </w:hyperlink>
    </w:p>
    <w:p w14:paraId="6B652AC3" w14:textId="77777777" w:rsidR="00A04B3A" w:rsidRPr="002C39B4" w:rsidRDefault="00A04B3A" w:rsidP="004E0E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</w:pPr>
    </w:p>
    <w:p w14:paraId="3506E681" w14:textId="00B5E70E" w:rsidR="004E0E60" w:rsidRPr="002C39B4" w:rsidRDefault="00A04B3A" w:rsidP="004E0E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C39B4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>(2</w:t>
      </w:r>
      <w:r w:rsidR="00C97F57" w:rsidRPr="002C39B4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>).</w:t>
      </w:r>
      <w:r w:rsidR="00C97F57" w:rsidRPr="002C39B4">
        <w:rPr>
          <w:rFonts w:asciiTheme="majorBidi" w:hAnsiTheme="majorBidi" w:cstheme="majorBidi"/>
          <w:color w:val="C45911" w:themeColor="accent2" w:themeShade="BF"/>
          <w:sz w:val="24"/>
          <w:szCs w:val="24"/>
        </w:rPr>
        <w:t xml:space="preserve"> </w:t>
      </w:r>
      <w:r w:rsidR="00D51AAF" w:rsidRPr="002C39B4">
        <w:rPr>
          <w:rFonts w:asciiTheme="majorBidi" w:hAnsiTheme="majorBidi" w:cstheme="majorBidi"/>
          <w:sz w:val="24"/>
          <w:szCs w:val="24"/>
        </w:rPr>
        <w:t>Maury</w:t>
      </w:r>
      <w:r w:rsidR="006D3F84" w:rsidRPr="002C39B4">
        <w:rPr>
          <w:rFonts w:asciiTheme="majorBidi" w:hAnsiTheme="majorBidi" w:cstheme="majorBidi"/>
          <w:sz w:val="24"/>
          <w:szCs w:val="24"/>
        </w:rPr>
        <w:t xml:space="preserve">, </w:t>
      </w:r>
      <w:r w:rsidR="004E0E60" w:rsidRPr="002C39B4">
        <w:rPr>
          <w:rFonts w:asciiTheme="majorBidi" w:hAnsiTheme="majorBidi" w:cstheme="majorBidi"/>
          <w:sz w:val="24"/>
          <w:szCs w:val="24"/>
        </w:rPr>
        <w:t>B. (2018</w:t>
      </w:r>
      <w:r w:rsidR="006D3F84" w:rsidRPr="002C39B4">
        <w:rPr>
          <w:rFonts w:asciiTheme="majorBidi" w:hAnsiTheme="majorBidi" w:cstheme="majorBidi"/>
          <w:sz w:val="24"/>
          <w:szCs w:val="24"/>
        </w:rPr>
        <w:t>).</w:t>
      </w:r>
      <w:r w:rsidR="00D51AAF" w:rsidRPr="002C39B4">
        <w:rPr>
          <w:rFonts w:asciiTheme="majorBidi" w:hAnsiTheme="majorBidi" w:cstheme="majorBidi"/>
          <w:sz w:val="24"/>
          <w:szCs w:val="24"/>
        </w:rPr>
        <w:t xml:space="preserve"> Sustainable competitive advantage and proﬁtability persistence: Sources versus o</w:t>
      </w:r>
      <w:r w:rsidR="008673E8" w:rsidRPr="002C39B4">
        <w:rPr>
          <w:rFonts w:asciiTheme="majorBidi" w:hAnsiTheme="majorBidi" w:cstheme="majorBidi"/>
          <w:sz w:val="24"/>
          <w:szCs w:val="24"/>
        </w:rPr>
        <w:t>utcomes for assessing advantage</w:t>
      </w:r>
      <w:r w:rsidR="00D51AAF" w:rsidRPr="002C39B4">
        <w:rPr>
          <w:rFonts w:asciiTheme="majorBidi" w:hAnsiTheme="majorBidi" w:cstheme="majorBidi"/>
          <w:sz w:val="24"/>
          <w:szCs w:val="24"/>
        </w:rPr>
        <w:t xml:space="preserve">, </w:t>
      </w:r>
      <w:hyperlink r:id="rId8" w:tooltip="Go to Journal of Business Research on ScienceDirect" w:history="1">
        <w:r w:rsidR="00D51AAF" w:rsidRPr="002C39B4">
          <w:rPr>
            <w:rFonts w:asciiTheme="majorBidi" w:hAnsiTheme="majorBidi" w:cstheme="majorBidi"/>
            <w:i/>
            <w:iCs/>
            <w:sz w:val="24"/>
            <w:szCs w:val="24"/>
          </w:rPr>
          <w:t>Journal of Business Research</w:t>
        </w:r>
      </w:hyperlink>
      <w:r w:rsidR="00D51AAF" w:rsidRPr="002C39B4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51AAF" w:rsidRPr="002C39B4">
        <w:rPr>
          <w:rFonts w:asciiTheme="majorBidi" w:hAnsiTheme="majorBidi" w:cstheme="majorBidi"/>
          <w:sz w:val="24"/>
          <w:szCs w:val="24"/>
        </w:rPr>
        <w:t xml:space="preserve"> </w:t>
      </w:r>
      <w:hyperlink r:id="rId9" w:tooltip="Go to table of contents for this volume/issue" w:history="1">
        <w:r w:rsidR="00D51AAF" w:rsidRPr="002C39B4">
          <w:rPr>
            <w:rFonts w:asciiTheme="majorBidi" w:hAnsiTheme="majorBidi" w:cstheme="majorBidi"/>
            <w:sz w:val="24"/>
            <w:szCs w:val="24"/>
          </w:rPr>
          <w:t xml:space="preserve"> 84</w:t>
        </w:r>
      </w:hyperlink>
      <w:r w:rsidR="00D51AAF" w:rsidRPr="002C39B4">
        <w:rPr>
          <w:rFonts w:asciiTheme="majorBidi" w:hAnsiTheme="majorBidi" w:cstheme="majorBidi"/>
          <w:sz w:val="24"/>
          <w:szCs w:val="24"/>
        </w:rPr>
        <w:t xml:space="preserve">, </w:t>
      </w:r>
      <w:r w:rsidR="004E0E60" w:rsidRPr="002C39B4">
        <w:rPr>
          <w:rFonts w:asciiTheme="majorBidi" w:hAnsiTheme="majorBidi" w:cstheme="majorBidi"/>
          <w:sz w:val="24"/>
          <w:szCs w:val="24"/>
        </w:rPr>
        <w:t xml:space="preserve"> </w:t>
      </w:r>
      <w:r w:rsidR="00D51AAF" w:rsidRPr="002C39B4">
        <w:rPr>
          <w:rFonts w:asciiTheme="majorBidi" w:hAnsiTheme="majorBidi" w:cstheme="majorBidi"/>
          <w:sz w:val="24"/>
          <w:szCs w:val="24"/>
        </w:rPr>
        <w:t xml:space="preserve"> </w:t>
      </w:r>
      <w:r w:rsidR="004E0E60" w:rsidRPr="002C39B4">
        <w:rPr>
          <w:rFonts w:asciiTheme="majorBidi" w:hAnsiTheme="majorBidi" w:cstheme="majorBidi"/>
          <w:sz w:val="24"/>
          <w:szCs w:val="24"/>
        </w:rPr>
        <w:t>pp.</w:t>
      </w:r>
      <w:r w:rsidR="00D51AAF" w:rsidRPr="002C39B4">
        <w:rPr>
          <w:rFonts w:asciiTheme="majorBidi" w:hAnsiTheme="majorBidi" w:cstheme="majorBidi"/>
          <w:sz w:val="24"/>
          <w:szCs w:val="24"/>
        </w:rPr>
        <w:t>100-113</w:t>
      </w:r>
      <w:r w:rsidR="004E0E60" w:rsidRPr="002C39B4">
        <w:rPr>
          <w:rFonts w:asciiTheme="majorBidi" w:hAnsiTheme="majorBidi" w:cstheme="majorBidi"/>
          <w:sz w:val="24"/>
          <w:szCs w:val="24"/>
        </w:rPr>
        <w:t xml:space="preserve">. Available via this link: </w:t>
      </w:r>
      <w:hyperlink r:id="rId10" w:history="1">
        <w:r w:rsidR="004E0E60" w:rsidRPr="002C39B4">
          <w:rPr>
            <w:rStyle w:val="Hyperlink"/>
            <w:rFonts w:asciiTheme="majorBidi" w:hAnsiTheme="majorBidi" w:cstheme="majorBidi"/>
            <w:sz w:val="24"/>
            <w:szCs w:val="24"/>
          </w:rPr>
          <w:t>https://sci-hub.tw/https://doi.org/10.1016/j.jbusres.2017.10.051</w:t>
        </w:r>
      </w:hyperlink>
      <w:r w:rsidR="004E0E60" w:rsidRPr="002C39B4">
        <w:rPr>
          <w:rFonts w:asciiTheme="majorBidi" w:hAnsiTheme="majorBidi" w:cstheme="majorBidi"/>
          <w:sz w:val="24"/>
          <w:szCs w:val="24"/>
        </w:rPr>
        <w:t xml:space="preserve"> </w:t>
      </w:r>
    </w:p>
    <w:p w14:paraId="5BA4F416" w14:textId="64250C33" w:rsidR="00F9005D" w:rsidRPr="002C39B4" w:rsidRDefault="00F9005D" w:rsidP="008673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4552A0F" w14:textId="3E99E192" w:rsidR="00F16AAC" w:rsidRPr="002C39B4" w:rsidRDefault="00F16AAC" w:rsidP="00F16AAC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</w:p>
    <w:p w14:paraId="6AEA30EC" w14:textId="6DDD1D04" w:rsidR="006D3F84" w:rsidRPr="002C39B4" w:rsidRDefault="006D3F84" w:rsidP="00847C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2C39B4">
        <w:rPr>
          <w:rFonts w:asciiTheme="majorBidi" w:eastAsiaTheme="minorHAnsi" w:hAnsiTheme="majorBidi" w:cstheme="majorBidi"/>
          <w:color w:val="000000"/>
          <w:sz w:val="24"/>
          <w:szCs w:val="24"/>
        </w:rPr>
        <w:t>Select a company from the Middle East market and answer the following questions:</w:t>
      </w:r>
    </w:p>
    <w:p w14:paraId="6308BF52" w14:textId="440075E5" w:rsidR="00C97F57" w:rsidRPr="002C39B4" w:rsidRDefault="00C14273" w:rsidP="00847C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C39B4">
        <w:rPr>
          <w:rFonts w:asciiTheme="majorBidi" w:hAnsiTheme="majorBidi" w:cstheme="majorBidi"/>
          <w:sz w:val="24"/>
          <w:szCs w:val="24"/>
        </w:rPr>
        <w:t xml:space="preserve">Identify the </w:t>
      </w:r>
      <w:r w:rsidR="00C97F57" w:rsidRPr="002C39B4">
        <w:rPr>
          <w:rFonts w:asciiTheme="majorBidi" w:hAnsiTheme="majorBidi" w:cstheme="majorBidi"/>
          <w:sz w:val="24"/>
          <w:szCs w:val="24"/>
        </w:rPr>
        <w:t>main sources of</w:t>
      </w:r>
      <w:r w:rsidRPr="002C39B4">
        <w:rPr>
          <w:rFonts w:asciiTheme="majorBidi" w:hAnsiTheme="majorBidi" w:cstheme="majorBidi"/>
          <w:sz w:val="24"/>
          <w:szCs w:val="24"/>
        </w:rPr>
        <w:t xml:space="preserve"> competitive advantage of the </w:t>
      </w:r>
      <w:r w:rsidR="00847CD6" w:rsidRPr="002C39B4">
        <w:rPr>
          <w:rFonts w:asciiTheme="majorBidi" w:hAnsiTheme="majorBidi" w:cstheme="majorBidi"/>
          <w:sz w:val="24"/>
          <w:szCs w:val="24"/>
        </w:rPr>
        <w:t>company</w:t>
      </w:r>
      <w:r w:rsidRPr="002C39B4">
        <w:rPr>
          <w:rFonts w:asciiTheme="majorBidi" w:hAnsiTheme="majorBidi" w:cstheme="majorBidi"/>
          <w:sz w:val="24"/>
          <w:szCs w:val="24"/>
        </w:rPr>
        <w:t xml:space="preserve"> you </w:t>
      </w:r>
      <w:r w:rsidR="00C97F57" w:rsidRPr="002C39B4">
        <w:rPr>
          <w:rFonts w:asciiTheme="majorBidi" w:hAnsiTheme="majorBidi" w:cstheme="majorBidi"/>
          <w:sz w:val="24"/>
          <w:szCs w:val="24"/>
        </w:rPr>
        <w:t>have selected</w:t>
      </w:r>
      <w:r w:rsidR="00DE3355" w:rsidRPr="002C39B4">
        <w:rPr>
          <w:rFonts w:asciiTheme="majorBidi" w:hAnsiTheme="majorBidi" w:cstheme="majorBidi"/>
          <w:sz w:val="24"/>
          <w:szCs w:val="24"/>
        </w:rPr>
        <w:t>.</w:t>
      </w:r>
      <w:r w:rsidR="00C97F57" w:rsidRPr="002C39B4">
        <w:rPr>
          <w:rFonts w:asciiTheme="majorBidi" w:hAnsiTheme="majorBidi" w:cstheme="majorBidi"/>
          <w:sz w:val="24"/>
          <w:szCs w:val="24"/>
        </w:rPr>
        <w:t xml:space="preserve"> </w:t>
      </w:r>
    </w:p>
    <w:p w14:paraId="496557E5" w14:textId="5E1E80EA" w:rsidR="00DE3355" w:rsidRPr="002C39B4" w:rsidRDefault="00C97F57" w:rsidP="00273D0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C39B4">
        <w:rPr>
          <w:rFonts w:asciiTheme="majorBidi" w:hAnsiTheme="majorBidi" w:cstheme="majorBidi"/>
          <w:sz w:val="24"/>
          <w:szCs w:val="24"/>
        </w:rPr>
        <w:t xml:space="preserve">Discuss the roles of innovation and IT in competitive advantage of your selected company </w:t>
      </w:r>
      <w:r w:rsidR="00A04B3A" w:rsidRPr="002C39B4">
        <w:rPr>
          <w:rFonts w:asciiTheme="majorBidi" w:hAnsiTheme="majorBidi" w:cstheme="majorBidi"/>
          <w:sz w:val="24"/>
          <w:szCs w:val="24"/>
        </w:rPr>
        <w:t>with reference to the</w:t>
      </w:r>
      <w:r w:rsidR="00273D06" w:rsidRPr="002C39B4">
        <w:rPr>
          <w:rFonts w:asciiTheme="majorBidi" w:hAnsiTheme="majorBidi" w:cstheme="majorBidi"/>
          <w:sz w:val="24"/>
          <w:szCs w:val="24"/>
        </w:rPr>
        <w:t xml:space="preserve"> </w:t>
      </w:r>
      <w:r w:rsidR="00A04B3A" w:rsidRPr="002C39B4">
        <w:rPr>
          <w:rFonts w:asciiTheme="majorBidi" w:hAnsiTheme="majorBidi" w:cstheme="majorBidi"/>
          <w:sz w:val="24"/>
          <w:szCs w:val="24"/>
        </w:rPr>
        <w:t>article (1</w:t>
      </w:r>
      <w:r w:rsidRPr="002C39B4">
        <w:rPr>
          <w:rFonts w:asciiTheme="majorBidi" w:hAnsiTheme="majorBidi" w:cstheme="majorBidi"/>
          <w:sz w:val="24"/>
          <w:szCs w:val="24"/>
        </w:rPr>
        <w:t>)</w:t>
      </w:r>
      <w:r w:rsidR="00273D06" w:rsidRPr="002C39B4">
        <w:rPr>
          <w:rFonts w:asciiTheme="majorBidi" w:hAnsiTheme="majorBidi" w:cstheme="majorBidi"/>
          <w:sz w:val="24"/>
          <w:szCs w:val="24"/>
        </w:rPr>
        <w:t xml:space="preserve"> mentioned above</w:t>
      </w:r>
      <w:r w:rsidRPr="002C39B4">
        <w:rPr>
          <w:rFonts w:asciiTheme="majorBidi" w:hAnsiTheme="majorBidi" w:cstheme="majorBidi"/>
          <w:sz w:val="24"/>
          <w:szCs w:val="24"/>
        </w:rPr>
        <w:t>.</w:t>
      </w:r>
      <w:r w:rsidR="00B8069B" w:rsidRPr="002C39B4">
        <w:rPr>
          <w:rFonts w:asciiTheme="majorBidi" w:hAnsiTheme="majorBidi" w:cstheme="majorBidi"/>
          <w:sz w:val="24"/>
          <w:szCs w:val="24"/>
        </w:rPr>
        <w:t xml:space="preserve"> </w:t>
      </w:r>
    </w:p>
    <w:p w14:paraId="2DD4D177" w14:textId="6BCC4D06" w:rsidR="00273D06" w:rsidRPr="002C39B4" w:rsidRDefault="00A04B3A" w:rsidP="0039230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C39B4">
        <w:rPr>
          <w:rFonts w:asciiTheme="majorBidi" w:hAnsiTheme="majorBidi" w:cstheme="majorBidi"/>
          <w:sz w:val="24"/>
          <w:szCs w:val="24"/>
        </w:rPr>
        <w:t>Refer to the article</w:t>
      </w:r>
      <w:r w:rsidR="00FD44A1" w:rsidRPr="002C39B4">
        <w:rPr>
          <w:rFonts w:asciiTheme="majorBidi" w:hAnsiTheme="majorBidi" w:cstheme="majorBidi"/>
          <w:sz w:val="24"/>
          <w:szCs w:val="24"/>
        </w:rPr>
        <w:t>s (1) and</w:t>
      </w:r>
      <w:r w:rsidRPr="002C39B4">
        <w:rPr>
          <w:rFonts w:asciiTheme="majorBidi" w:hAnsiTheme="majorBidi" w:cstheme="majorBidi"/>
          <w:sz w:val="24"/>
          <w:szCs w:val="24"/>
        </w:rPr>
        <w:t xml:space="preserve"> (2) above-mentioned and </w:t>
      </w:r>
      <w:r w:rsidR="00392303">
        <w:rPr>
          <w:rFonts w:asciiTheme="majorBidi" w:hAnsiTheme="majorBidi" w:cstheme="majorBidi"/>
          <w:sz w:val="24"/>
          <w:szCs w:val="24"/>
        </w:rPr>
        <w:t>answer the following questions</w:t>
      </w:r>
      <w:r w:rsidR="00273D06" w:rsidRPr="002C39B4">
        <w:rPr>
          <w:rFonts w:asciiTheme="majorBidi" w:hAnsiTheme="majorBidi" w:cstheme="majorBidi"/>
          <w:sz w:val="24"/>
          <w:szCs w:val="24"/>
        </w:rPr>
        <w:t>:</w:t>
      </w:r>
    </w:p>
    <w:p w14:paraId="68B77BF6" w14:textId="3727BF8A" w:rsidR="00C14273" w:rsidRPr="002C39B4" w:rsidRDefault="00273D06" w:rsidP="00273D0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C39B4">
        <w:rPr>
          <w:rFonts w:asciiTheme="majorBidi" w:hAnsiTheme="majorBidi" w:cstheme="majorBidi"/>
          <w:sz w:val="24"/>
          <w:szCs w:val="24"/>
        </w:rPr>
        <w:t>How</w:t>
      </w:r>
      <w:r w:rsidR="00C14273" w:rsidRPr="002C39B4">
        <w:rPr>
          <w:rFonts w:asciiTheme="majorBidi" w:hAnsiTheme="majorBidi" w:cstheme="majorBidi"/>
          <w:sz w:val="24"/>
          <w:szCs w:val="24"/>
        </w:rPr>
        <w:t xml:space="preserve"> </w:t>
      </w:r>
      <w:r w:rsidR="00FD44A1" w:rsidRPr="002C39B4">
        <w:rPr>
          <w:rFonts w:asciiTheme="majorBidi" w:hAnsiTheme="majorBidi" w:cstheme="majorBidi"/>
          <w:sz w:val="24"/>
          <w:szCs w:val="24"/>
        </w:rPr>
        <w:t xml:space="preserve">the </w:t>
      </w:r>
      <w:r w:rsidR="00C14273" w:rsidRPr="002C39B4">
        <w:rPr>
          <w:rFonts w:asciiTheme="majorBidi" w:hAnsiTheme="majorBidi" w:cstheme="majorBidi"/>
          <w:sz w:val="24"/>
          <w:szCs w:val="24"/>
        </w:rPr>
        <w:t xml:space="preserve">competitive advantage </w:t>
      </w:r>
      <w:r w:rsidR="00FD44A1" w:rsidRPr="002C39B4">
        <w:rPr>
          <w:rFonts w:asciiTheme="majorBidi" w:hAnsiTheme="majorBidi" w:cstheme="majorBidi"/>
          <w:sz w:val="24"/>
          <w:szCs w:val="24"/>
        </w:rPr>
        <w:t xml:space="preserve">and profitability of your selected company </w:t>
      </w:r>
      <w:proofErr w:type="gramStart"/>
      <w:r w:rsidR="00E769E4" w:rsidRPr="002C39B4">
        <w:rPr>
          <w:rFonts w:asciiTheme="majorBidi" w:hAnsiTheme="majorBidi" w:cstheme="majorBidi"/>
          <w:sz w:val="24"/>
          <w:szCs w:val="24"/>
        </w:rPr>
        <w:t xml:space="preserve">can be </w:t>
      </w:r>
      <w:r w:rsidRPr="002C39B4">
        <w:rPr>
          <w:rFonts w:asciiTheme="majorBidi" w:hAnsiTheme="majorBidi" w:cstheme="majorBidi"/>
          <w:sz w:val="24"/>
          <w:szCs w:val="24"/>
        </w:rPr>
        <w:t>sustained</w:t>
      </w:r>
      <w:proofErr w:type="gramEnd"/>
      <w:r w:rsidR="00E769E4" w:rsidRPr="002C39B4">
        <w:rPr>
          <w:rFonts w:asciiTheme="majorBidi" w:hAnsiTheme="majorBidi" w:cstheme="majorBidi"/>
          <w:sz w:val="24"/>
          <w:szCs w:val="24"/>
        </w:rPr>
        <w:t xml:space="preserve"> </w:t>
      </w:r>
      <w:r w:rsidR="00C14273" w:rsidRPr="002C39B4">
        <w:rPr>
          <w:rFonts w:asciiTheme="majorBidi" w:hAnsiTheme="majorBidi" w:cstheme="majorBidi"/>
          <w:sz w:val="24"/>
          <w:szCs w:val="24"/>
        </w:rPr>
        <w:t xml:space="preserve">in the face of </w:t>
      </w:r>
      <w:r w:rsidR="00E769E4" w:rsidRPr="002C39B4">
        <w:rPr>
          <w:rFonts w:asciiTheme="majorBidi" w:hAnsiTheme="majorBidi" w:cstheme="majorBidi"/>
          <w:sz w:val="24"/>
          <w:szCs w:val="24"/>
        </w:rPr>
        <w:t xml:space="preserve">environmental changes and </w:t>
      </w:r>
      <w:r w:rsidR="00C14273" w:rsidRPr="002C39B4">
        <w:rPr>
          <w:rFonts w:asciiTheme="majorBidi" w:hAnsiTheme="majorBidi" w:cstheme="majorBidi"/>
          <w:sz w:val="24"/>
          <w:szCs w:val="24"/>
        </w:rPr>
        <w:t>technological disruptions</w:t>
      </w:r>
      <w:r w:rsidR="002C39B4">
        <w:rPr>
          <w:rFonts w:asciiTheme="majorBidi" w:hAnsiTheme="majorBidi" w:cstheme="majorBidi"/>
          <w:sz w:val="24"/>
          <w:szCs w:val="24"/>
        </w:rPr>
        <w:t>?</w:t>
      </w:r>
    </w:p>
    <w:p w14:paraId="042AA8F1" w14:textId="4B8AE981" w:rsidR="00273D06" w:rsidRPr="002C39B4" w:rsidRDefault="002C39B4" w:rsidP="002C39B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C39B4">
        <w:rPr>
          <w:rFonts w:asciiTheme="majorBidi" w:hAnsiTheme="majorBidi" w:cstheme="majorBidi"/>
          <w:sz w:val="24"/>
          <w:szCs w:val="24"/>
        </w:rPr>
        <w:t>What are t</w:t>
      </w:r>
      <w:r w:rsidR="00273D06" w:rsidRPr="002C39B4">
        <w:rPr>
          <w:rFonts w:asciiTheme="majorBidi" w:hAnsiTheme="majorBidi" w:cstheme="majorBidi"/>
          <w:sz w:val="24"/>
          <w:szCs w:val="24"/>
        </w:rPr>
        <w:t xml:space="preserve">he </w:t>
      </w:r>
      <w:r w:rsidRPr="002C39B4">
        <w:rPr>
          <w:rFonts w:asciiTheme="majorBidi" w:hAnsiTheme="majorBidi" w:cstheme="majorBidi"/>
          <w:sz w:val="24"/>
          <w:szCs w:val="24"/>
        </w:rPr>
        <w:t xml:space="preserve">main </w:t>
      </w:r>
      <w:r w:rsidR="00273D06" w:rsidRPr="002C39B4">
        <w:rPr>
          <w:rFonts w:asciiTheme="majorBidi" w:hAnsiTheme="majorBidi" w:cstheme="majorBidi"/>
          <w:sz w:val="24"/>
          <w:szCs w:val="24"/>
        </w:rPr>
        <w:t xml:space="preserve">tools that </w:t>
      </w:r>
      <w:proofErr w:type="gramStart"/>
      <w:r w:rsidR="00273D06" w:rsidRPr="002C39B4">
        <w:rPr>
          <w:rFonts w:asciiTheme="majorBidi" w:hAnsiTheme="majorBidi" w:cstheme="majorBidi"/>
          <w:sz w:val="24"/>
          <w:szCs w:val="24"/>
        </w:rPr>
        <w:t>can be used</w:t>
      </w:r>
      <w:proofErr w:type="gramEnd"/>
      <w:r w:rsidR="00273D06" w:rsidRPr="002C39B4">
        <w:rPr>
          <w:rFonts w:asciiTheme="majorBidi" w:hAnsiTheme="majorBidi" w:cstheme="majorBidi"/>
          <w:sz w:val="24"/>
          <w:szCs w:val="24"/>
        </w:rPr>
        <w:t xml:space="preserve"> to manage the environmental </w:t>
      </w:r>
      <w:r w:rsidRPr="002C39B4">
        <w:rPr>
          <w:rFonts w:asciiTheme="majorBidi" w:hAnsiTheme="majorBidi" w:cstheme="majorBidi"/>
          <w:sz w:val="24"/>
          <w:szCs w:val="24"/>
        </w:rPr>
        <w:t>changes? Give examples.</w:t>
      </w:r>
    </w:p>
    <w:p w14:paraId="4424F46A" w14:textId="77777777" w:rsidR="00D1758F" w:rsidRPr="004F00B2" w:rsidRDefault="00D1758F" w:rsidP="00E769E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bookmarkStart w:id="0" w:name="_GoBack"/>
      <w:bookmarkEnd w:id="0"/>
    </w:p>
    <w:sectPr w:rsidR="00D1758F" w:rsidRPr="004F00B2" w:rsidSect="008F1289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01A"/>
    <w:multiLevelType w:val="hybridMultilevel"/>
    <w:tmpl w:val="216A221E"/>
    <w:lvl w:ilvl="0" w:tplc="7D42D58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206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697"/>
    <w:multiLevelType w:val="hybridMultilevel"/>
    <w:tmpl w:val="0E088462"/>
    <w:lvl w:ilvl="0" w:tplc="09F418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89A"/>
    <w:multiLevelType w:val="hybridMultilevel"/>
    <w:tmpl w:val="E6D07A94"/>
    <w:lvl w:ilvl="0" w:tplc="389043D6">
      <w:start w:val="3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36A771A1"/>
    <w:multiLevelType w:val="hybridMultilevel"/>
    <w:tmpl w:val="C7FA3632"/>
    <w:lvl w:ilvl="0" w:tplc="662ABF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56CFB"/>
    <w:multiLevelType w:val="multilevel"/>
    <w:tmpl w:val="3E0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33B6F"/>
    <w:multiLevelType w:val="hybridMultilevel"/>
    <w:tmpl w:val="1054B818"/>
    <w:lvl w:ilvl="0" w:tplc="DEB4454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color w:val="00206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560930"/>
    <w:multiLevelType w:val="hybridMultilevel"/>
    <w:tmpl w:val="C57E0016"/>
    <w:lvl w:ilvl="0" w:tplc="B6B49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30F83"/>
    <w:multiLevelType w:val="hybridMultilevel"/>
    <w:tmpl w:val="B73ABBFA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95E5E"/>
    <w:multiLevelType w:val="hybridMultilevel"/>
    <w:tmpl w:val="A570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07"/>
    <w:multiLevelType w:val="hybridMultilevel"/>
    <w:tmpl w:val="F24E238C"/>
    <w:lvl w:ilvl="0" w:tplc="040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73E911FE"/>
    <w:multiLevelType w:val="hybridMultilevel"/>
    <w:tmpl w:val="3A925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32D98"/>
    <w:multiLevelType w:val="hybridMultilevel"/>
    <w:tmpl w:val="A0D219CE"/>
    <w:lvl w:ilvl="0" w:tplc="581ECCEC">
      <w:start w:val="1"/>
      <w:numFmt w:val="lowerLetter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823F2A"/>
    <w:multiLevelType w:val="multilevel"/>
    <w:tmpl w:val="D298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81DB2"/>
    <w:multiLevelType w:val="multilevel"/>
    <w:tmpl w:val="E9F4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7C"/>
    <w:rsid w:val="00101497"/>
    <w:rsid w:val="001331DF"/>
    <w:rsid w:val="00147B50"/>
    <w:rsid w:val="001E587F"/>
    <w:rsid w:val="00273D06"/>
    <w:rsid w:val="00275AC6"/>
    <w:rsid w:val="002C39B4"/>
    <w:rsid w:val="002D3A00"/>
    <w:rsid w:val="002F6A81"/>
    <w:rsid w:val="00392303"/>
    <w:rsid w:val="004328D6"/>
    <w:rsid w:val="00440CDD"/>
    <w:rsid w:val="00456059"/>
    <w:rsid w:val="004A38F8"/>
    <w:rsid w:val="004C51AC"/>
    <w:rsid w:val="004E0E60"/>
    <w:rsid w:val="004F00B2"/>
    <w:rsid w:val="00532C30"/>
    <w:rsid w:val="0068020E"/>
    <w:rsid w:val="006955CC"/>
    <w:rsid w:val="006C6901"/>
    <w:rsid w:val="006D3F84"/>
    <w:rsid w:val="00753532"/>
    <w:rsid w:val="00753AB0"/>
    <w:rsid w:val="00847CD6"/>
    <w:rsid w:val="008673E8"/>
    <w:rsid w:val="008967B3"/>
    <w:rsid w:val="008F1289"/>
    <w:rsid w:val="00937181"/>
    <w:rsid w:val="00A04B3A"/>
    <w:rsid w:val="00A778B3"/>
    <w:rsid w:val="00AB5B5F"/>
    <w:rsid w:val="00B8069B"/>
    <w:rsid w:val="00C14273"/>
    <w:rsid w:val="00C613C8"/>
    <w:rsid w:val="00C97F57"/>
    <w:rsid w:val="00CC5BC9"/>
    <w:rsid w:val="00CF58DD"/>
    <w:rsid w:val="00D1758F"/>
    <w:rsid w:val="00D51AAF"/>
    <w:rsid w:val="00DA56BF"/>
    <w:rsid w:val="00DE3355"/>
    <w:rsid w:val="00E54431"/>
    <w:rsid w:val="00E55B65"/>
    <w:rsid w:val="00E56797"/>
    <w:rsid w:val="00E769E4"/>
    <w:rsid w:val="00F16AAC"/>
    <w:rsid w:val="00F303F3"/>
    <w:rsid w:val="00F53F7C"/>
    <w:rsid w:val="00F9005D"/>
    <w:rsid w:val="00FB52E0"/>
    <w:rsid w:val="00FC1281"/>
    <w:rsid w:val="00FC1F0F"/>
    <w:rsid w:val="00FD44A1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2078"/>
  <w15:chartTrackingRefBased/>
  <w15:docId w15:val="{F4C26C7E-434D-4D5B-A79F-F60EC94C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89"/>
    <w:rPr>
      <w:rFonts w:ascii="Calibri" w:eastAsia="Calibri" w:hAnsi="Calibri" w:cs="Arial"/>
    </w:rPr>
  </w:style>
  <w:style w:type="paragraph" w:styleId="Heading2">
    <w:name w:val="heading 2"/>
    <w:basedOn w:val="Normal"/>
    <w:link w:val="Heading2Char"/>
    <w:uiPriority w:val="9"/>
    <w:qFormat/>
    <w:rsid w:val="00D51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8F12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F1289"/>
    <w:pPr>
      <w:widowControl w:val="0"/>
      <w:autoSpaceDE w:val="0"/>
      <w:autoSpaceDN w:val="0"/>
      <w:spacing w:after="0" w:line="292" w:lineRule="exact"/>
      <w:ind w:left="102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4328D6"/>
    <w:pPr>
      <w:ind w:left="720"/>
      <w:contextualSpacing/>
    </w:pPr>
  </w:style>
  <w:style w:type="character" w:styleId="Hyperlink">
    <w:name w:val="Hyperlink"/>
    <w:uiPriority w:val="99"/>
    <w:unhideWhenUsed/>
    <w:rsid w:val="007535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51AAF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journal/01482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0954349X17301947?via%3Dih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as.seu.edu.sa/cas/login?service=https://lms.seu.edu.sa/webapps/bb-auth-provider-cas-BBLEARN/execute/casLogin?cmd=login&amp;authProviderId=_105_1&amp;redirectUrl=https://lms.seu.edu.sa/webapps/portal/frameset.jsp&amp;sessionIdForLogout=5CD337C3E58DD15ECCAFFCFB223ACE53" TargetMode="External"/><Relationship Id="rId10" Type="http://schemas.openxmlformats.org/officeDocument/2006/relationships/hyperlink" Target="https://sci-hub.tw/https://doi.org/10.1016/j.jbusres.2017.10.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journal/01482963/84/supp/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2020-06-11T17:15:00Z</dcterms:created>
  <dcterms:modified xsi:type="dcterms:W3CDTF">2020-06-13T14:03:00Z</dcterms:modified>
</cp:coreProperties>
</file>