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EB06" w14:textId="51E9BCFC" w:rsidR="009A6A18" w:rsidRPr="00CB2DD7" w:rsidRDefault="009A6A18" w:rsidP="00CB2DD7">
      <w:pPr>
        <w:pStyle w:val="BodyText"/>
        <w:jc w:val="both"/>
        <w:outlineLvl w:val="1"/>
        <w:rPr>
          <w:rFonts w:ascii="Arial" w:hAnsi="Arial" w:cs="Arial"/>
          <w:b/>
          <w:sz w:val="20"/>
        </w:rPr>
      </w:pPr>
      <w:r w:rsidRPr="004F6AC1">
        <w:rPr>
          <w:rFonts w:ascii="Arial" w:hAnsi="Arial" w:cs="Arial"/>
          <w:sz w:val="32"/>
          <w:szCs w:val="32"/>
          <w:u w:val="single"/>
        </w:rPr>
        <w:t>QUESTION</w:t>
      </w:r>
    </w:p>
    <w:p w14:paraId="2B934861" w14:textId="77777777" w:rsidR="009A6A18" w:rsidRDefault="009A6A18" w:rsidP="009A6A18"/>
    <w:p w14:paraId="2AE800CF" w14:textId="77777777" w:rsidR="009A6A18" w:rsidRDefault="009A6A18" w:rsidP="009A6A18">
      <w:pPr>
        <w:rPr>
          <w:rFonts w:ascii="Arial" w:hAnsi="Arial" w:cs="Arial"/>
        </w:rPr>
      </w:pPr>
    </w:p>
    <w:p w14:paraId="4529C70C" w14:textId="31F2935E" w:rsidR="009A6A18" w:rsidRPr="009A6A18" w:rsidRDefault="009A6A18" w:rsidP="009A6A18">
      <w:pPr>
        <w:rPr>
          <w:rFonts w:ascii="Arial" w:hAnsi="Arial" w:cs="Arial"/>
        </w:rPr>
      </w:pPr>
      <w:r w:rsidRPr="009A6A18">
        <w:rPr>
          <w:rFonts w:ascii="Arial" w:hAnsi="Arial" w:cs="Arial"/>
        </w:rPr>
        <w:t>You are a trainee solicitor at HLS Law. Each month, HSL Law produce a newsletter for their clients and the general public, which they publish on their website. This month, you have been asked to support your manager, Tracey, in writing a blog post on the law of agency.</w:t>
      </w:r>
    </w:p>
    <w:p w14:paraId="6EC5F564" w14:textId="77777777" w:rsidR="009A6A18" w:rsidRPr="009A6A18" w:rsidRDefault="009A6A18" w:rsidP="009A6A18">
      <w:pPr>
        <w:rPr>
          <w:rFonts w:ascii="Arial" w:hAnsi="Arial" w:cs="Arial"/>
        </w:rPr>
      </w:pPr>
    </w:p>
    <w:p w14:paraId="3B63FBF5" w14:textId="184CD425" w:rsidR="009A6A18" w:rsidRPr="009A6A18" w:rsidRDefault="009A6A18" w:rsidP="009A6A18">
      <w:pPr>
        <w:rPr>
          <w:rFonts w:ascii="Arial" w:hAnsi="Arial" w:cs="Arial"/>
        </w:rPr>
      </w:pPr>
      <w:r w:rsidRPr="009A6A18">
        <w:rPr>
          <w:rFonts w:ascii="Arial" w:hAnsi="Arial" w:cs="Arial"/>
        </w:rPr>
        <w:t>In order to do so, Tracey has requested you</w:t>
      </w:r>
      <w:r>
        <w:rPr>
          <w:rFonts w:ascii="Arial" w:hAnsi="Arial" w:cs="Arial"/>
        </w:rPr>
        <w:t xml:space="preserve"> to</w:t>
      </w:r>
      <w:r w:rsidRPr="009A6A18">
        <w:rPr>
          <w:rFonts w:ascii="Arial" w:hAnsi="Arial" w:cs="Arial"/>
        </w:rPr>
        <w:t xml:space="preserve"> first write an essay, which she will then convert into a blog post.</w:t>
      </w:r>
    </w:p>
    <w:p w14:paraId="05C5BEF3" w14:textId="77777777" w:rsidR="009A6A18" w:rsidRPr="009A6A18" w:rsidRDefault="009A6A18" w:rsidP="009A6A18">
      <w:pPr>
        <w:rPr>
          <w:rFonts w:ascii="Arial" w:hAnsi="Arial" w:cs="Arial"/>
        </w:rPr>
      </w:pPr>
    </w:p>
    <w:p w14:paraId="0E3B14B2" w14:textId="77777777" w:rsidR="009A6A18" w:rsidRPr="009A6A18" w:rsidRDefault="009A6A18" w:rsidP="009A6A18">
      <w:pPr>
        <w:rPr>
          <w:rFonts w:ascii="Arial" w:hAnsi="Arial" w:cs="Arial"/>
        </w:rPr>
      </w:pPr>
    </w:p>
    <w:p w14:paraId="0B95AEC8" w14:textId="77777777" w:rsidR="009A6A18" w:rsidRPr="009A6A18" w:rsidRDefault="009A6A18" w:rsidP="009A6A18">
      <w:pPr>
        <w:rPr>
          <w:rFonts w:ascii="Arial" w:hAnsi="Arial" w:cs="Arial"/>
        </w:rPr>
      </w:pPr>
      <w:r w:rsidRPr="009A6A18">
        <w:rPr>
          <w:rFonts w:ascii="Arial" w:hAnsi="Arial" w:cs="Arial"/>
        </w:rPr>
        <w:t>Your essay must critically discuss:</w:t>
      </w:r>
    </w:p>
    <w:p w14:paraId="085EF864" w14:textId="77777777" w:rsidR="009A6A18" w:rsidRPr="009A6A18" w:rsidRDefault="009A6A18" w:rsidP="009A6A18">
      <w:pPr>
        <w:rPr>
          <w:rFonts w:ascii="Arial" w:hAnsi="Arial" w:cs="Arial"/>
        </w:rPr>
      </w:pPr>
    </w:p>
    <w:p w14:paraId="3E6BBD9D" w14:textId="77777777" w:rsidR="009A6A18" w:rsidRPr="009A6A18" w:rsidRDefault="009A6A18" w:rsidP="009A6A18">
      <w:pPr>
        <w:pStyle w:val="ListParagraph"/>
        <w:numPr>
          <w:ilvl w:val="0"/>
          <w:numId w:val="14"/>
        </w:numPr>
        <w:spacing w:after="0" w:line="240" w:lineRule="auto"/>
        <w:rPr>
          <w:rFonts w:ascii="Arial" w:hAnsi="Arial" w:cs="Arial"/>
        </w:rPr>
      </w:pPr>
      <w:r w:rsidRPr="009A6A18">
        <w:rPr>
          <w:rFonts w:ascii="Arial" w:hAnsi="Arial" w:cs="Arial"/>
        </w:rPr>
        <w:t xml:space="preserve">The creation of the agency </w:t>
      </w:r>
      <w:r w:rsidRPr="009A6A18">
        <w:rPr>
          <w:rFonts w:ascii="Arial" w:hAnsi="Arial" w:cs="Arial"/>
          <w:color w:val="000000" w:themeColor="text1"/>
        </w:rPr>
        <w:t xml:space="preserve">relationship and the agent’s authority  </w:t>
      </w:r>
    </w:p>
    <w:p w14:paraId="46560D19" w14:textId="77777777" w:rsidR="009A6A18" w:rsidRPr="009A6A18" w:rsidRDefault="009A6A18" w:rsidP="009A6A18">
      <w:pPr>
        <w:pStyle w:val="ListParagraph"/>
        <w:numPr>
          <w:ilvl w:val="0"/>
          <w:numId w:val="14"/>
        </w:numPr>
        <w:spacing w:after="0" w:line="240" w:lineRule="auto"/>
        <w:rPr>
          <w:rFonts w:ascii="Arial" w:hAnsi="Arial" w:cs="Arial"/>
        </w:rPr>
      </w:pPr>
      <w:r w:rsidRPr="009A6A18">
        <w:rPr>
          <w:rFonts w:ascii="Arial" w:hAnsi="Arial" w:cs="Arial"/>
        </w:rPr>
        <w:t>The obligations owed by an agent to his principal, both fiduciary and under common law</w:t>
      </w:r>
    </w:p>
    <w:p w14:paraId="6E41427C" w14:textId="77777777" w:rsidR="009A6A18" w:rsidRPr="009A6A18" w:rsidRDefault="009A6A18" w:rsidP="009A6A18">
      <w:pPr>
        <w:rPr>
          <w:rFonts w:ascii="Arial" w:hAnsi="Arial" w:cs="Arial"/>
        </w:rPr>
      </w:pPr>
    </w:p>
    <w:p w14:paraId="58A0770C" w14:textId="77777777" w:rsidR="009A6A18" w:rsidRPr="009A6A18" w:rsidRDefault="009A6A18" w:rsidP="009A6A18">
      <w:pPr>
        <w:rPr>
          <w:rFonts w:ascii="Arial" w:hAnsi="Arial" w:cs="Arial"/>
        </w:rPr>
      </w:pPr>
    </w:p>
    <w:p w14:paraId="1F03E5B2" w14:textId="232DD1A3" w:rsidR="009A6A18" w:rsidRPr="009A6A18" w:rsidRDefault="009A6A18" w:rsidP="009A6A18">
      <w:pPr>
        <w:rPr>
          <w:rFonts w:ascii="Arial" w:hAnsi="Arial" w:cs="Arial"/>
          <w:b/>
          <w:bCs/>
        </w:rPr>
      </w:pPr>
      <w:r w:rsidRPr="009A6A18">
        <w:rPr>
          <w:rFonts w:ascii="Arial" w:hAnsi="Arial" w:cs="Arial"/>
          <w:b/>
          <w:bCs/>
        </w:rPr>
        <w:t>Your essay has a maximum</w:t>
      </w:r>
      <w:r>
        <w:rPr>
          <w:rFonts w:ascii="Arial" w:hAnsi="Arial" w:cs="Arial"/>
          <w:b/>
          <w:bCs/>
        </w:rPr>
        <w:t xml:space="preserve"> </w:t>
      </w:r>
      <w:r w:rsidR="00E7519E">
        <w:rPr>
          <w:rFonts w:ascii="Arial" w:hAnsi="Arial" w:cs="Arial"/>
          <w:b/>
          <w:bCs/>
        </w:rPr>
        <w:t>limit of 9</w:t>
      </w:r>
      <w:r w:rsidRPr="009A6A18">
        <w:rPr>
          <w:rFonts w:ascii="Arial" w:hAnsi="Arial" w:cs="Arial"/>
          <w:b/>
          <w:bCs/>
        </w:rPr>
        <w:t xml:space="preserve"> pages, including footnotes but excluding the bibliography.</w:t>
      </w:r>
    </w:p>
    <w:p w14:paraId="738FAB70" w14:textId="77777777" w:rsidR="009A6A18" w:rsidRPr="009A6A18" w:rsidRDefault="009A6A18" w:rsidP="009A6A18">
      <w:pPr>
        <w:rPr>
          <w:rFonts w:ascii="Arial" w:hAnsi="Arial" w:cs="Arial"/>
          <w:b/>
          <w:bCs/>
        </w:rPr>
      </w:pPr>
    </w:p>
    <w:p w14:paraId="69B0D65B" w14:textId="77777777" w:rsidR="009A6A18" w:rsidRPr="009A6A18" w:rsidRDefault="009A6A18" w:rsidP="009A6A18">
      <w:pPr>
        <w:rPr>
          <w:rFonts w:ascii="Arial" w:hAnsi="Arial" w:cs="Arial"/>
          <w:b/>
          <w:bCs/>
        </w:rPr>
      </w:pPr>
      <w:r w:rsidRPr="009A6A18">
        <w:rPr>
          <w:rFonts w:ascii="Arial" w:hAnsi="Arial" w:cs="Arial"/>
          <w:b/>
          <w:bCs/>
        </w:rPr>
        <w:t>All references must be OSCOLA.</w:t>
      </w:r>
    </w:p>
    <w:p w14:paraId="401C45D6" w14:textId="77777777" w:rsidR="009A6A18" w:rsidRPr="009A6A18" w:rsidRDefault="009A6A18" w:rsidP="009A6A18">
      <w:pPr>
        <w:rPr>
          <w:rFonts w:ascii="Arial" w:hAnsi="Arial" w:cs="Arial"/>
        </w:rPr>
      </w:pPr>
    </w:p>
    <w:p w14:paraId="0ABC6764" w14:textId="56733BF3" w:rsidR="009A6A18" w:rsidRPr="009A6A18" w:rsidRDefault="009A6A18" w:rsidP="009A6A18">
      <w:pPr>
        <w:rPr>
          <w:rFonts w:ascii="Arial" w:hAnsi="Arial" w:cs="Arial"/>
          <w:b/>
          <w:bCs/>
        </w:rPr>
      </w:pPr>
      <w:r w:rsidRPr="009A6A18">
        <w:rPr>
          <w:rFonts w:ascii="Arial" w:hAnsi="Arial" w:cs="Arial"/>
          <w:b/>
          <w:bCs/>
        </w:rPr>
        <w:t xml:space="preserve">Please read page 4 for more information on page limits. </w:t>
      </w:r>
    </w:p>
    <w:p w14:paraId="78D7254A" w14:textId="77777777" w:rsidR="009A6A18" w:rsidRPr="009A6A18" w:rsidRDefault="009A6A18" w:rsidP="009A6A18">
      <w:pPr>
        <w:rPr>
          <w:rFonts w:ascii="Arial" w:hAnsi="Arial" w:cs="Arial"/>
          <w:b/>
          <w:bCs/>
        </w:rPr>
      </w:pPr>
    </w:p>
    <w:p w14:paraId="70BE9066" w14:textId="77777777" w:rsidR="009A6A18" w:rsidRPr="004F6AC1" w:rsidRDefault="009A6A18" w:rsidP="009A6A18">
      <w:pPr>
        <w:rPr>
          <w:rFonts w:ascii="Arial" w:hAnsi="Arial" w:cs="Arial"/>
          <w:sz w:val="20"/>
          <w:szCs w:val="20"/>
        </w:rPr>
      </w:pPr>
    </w:p>
    <w:p w14:paraId="59B69775" w14:textId="77777777" w:rsidR="009A6A18" w:rsidRPr="004F6AC1" w:rsidRDefault="009A6A18" w:rsidP="009A6A18">
      <w:pPr>
        <w:rPr>
          <w:rFonts w:ascii="Arial" w:hAnsi="Arial" w:cs="Arial"/>
          <w:sz w:val="20"/>
          <w:szCs w:val="20"/>
        </w:rPr>
      </w:pPr>
    </w:p>
    <w:p w14:paraId="4CDD4DD4" w14:textId="77777777" w:rsidR="009A6A18" w:rsidRDefault="009A6A18" w:rsidP="009A6A18"/>
    <w:p w14:paraId="60FF8E30" w14:textId="77777777" w:rsidR="009A6A18" w:rsidRDefault="009A6A18" w:rsidP="009A6A18"/>
    <w:p w14:paraId="46FEAEEA" w14:textId="77777777" w:rsidR="009A6A18" w:rsidRDefault="009A6A18" w:rsidP="009A6A18">
      <w:pPr>
        <w:rPr>
          <w:rFonts w:ascii="Arial" w:hAnsi="Arial" w:cs="Arial"/>
        </w:rPr>
      </w:pPr>
    </w:p>
    <w:p w14:paraId="33891AEE" w14:textId="77777777" w:rsidR="009A6A18" w:rsidRDefault="009A6A18" w:rsidP="009A6A18">
      <w:pPr>
        <w:rPr>
          <w:rFonts w:ascii="Arial" w:hAnsi="Arial" w:cs="Arial"/>
        </w:rPr>
      </w:pPr>
    </w:p>
    <w:p w14:paraId="2DDAE0B9" w14:textId="77777777" w:rsidR="009A6A18" w:rsidRDefault="009A6A18" w:rsidP="009A6A18">
      <w:pPr>
        <w:rPr>
          <w:rFonts w:ascii="Arial" w:hAnsi="Arial" w:cs="Arial"/>
        </w:rPr>
      </w:pPr>
    </w:p>
    <w:p w14:paraId="40EBDEE4" w14:textId="77777777" w:rsidR="009A6A18" w:rsidRDefault="009A6A18" w:rsidP="009A6A18">
      <w:pPr>
        <w:rPr>
          <w:rFonts w:ascii="Arial" w:hAnsi="Arial" w:cs="Arial"/>
        </w:rPr>
      </w:pPr>
    </w:p>
    <w:p w14:paraId="33D2A7D2" w14:textId="1DCFAF13" w:rsidR="009A6A18" w:rsidRDefault="009A6A18" w:rsidP="009A6A18">
      <w:pPr>
        <w:rPr>
          <w:rFonts w:ascii="Arial" w:hAnsi="Arial" w:cs="Arial"/>
        </w:rPr>
      </w:pPr>
    </w:p>
    <w:p w14:paraId="437C1E8E" w14:textId="0BACFF56" w:rsidR="009A6A18" w:rsidRDefault="009A6A18" w:rsidP="009A6A18">
      <w:pPr>
        <w:rPr>
          <w:rFonts w:ascii="Arial" w:hAnsi="Arial" w:cs="Arial"/>
        </w:rPr>
      </w:pPr>
    </w:p>
    <w:p w14:paraId="06CC403E" w14:textId="64C92E43" w:rsidR="009A6A18" w:rsidRDefault="009A6A18" w:rsidP="009A6A18">
      <w:pPr>
        <w:rPr>
          <w:rFonts w:ascii="Arial" w:hAnsi="Arial" w:cs="Arial"/>
        </w:rPr>
      </w:pPr>
    </w:p>
    <w:p w14:paraId="1500B2D5" w14:textId="56D95DD5" w:rsidR="009A6A18" w:rsidRDefault="009A6A18" w:rsidP="009A6A18">
      <w:pPr>
        <w:rPr>
          <w:rFonts w:ascii="Arial" w:hAnsi="Arial" w:cs="Arial"/>
        </w:rPr>
      </w:pPr>
    </w:p>
    <w:p w14:paraId="6BF1A704" w14:textId="30A14136" w:rsidR="009A6A18" w:rsidRDefault="009A6A18" w:rsidP="009A6A18">
      <w:pPr>
        <w:rPr>
          <w:rFonts w:ascii="Arial" w:hAnsi="Arial" w:cs="Arial"/>
        </w:rPr>
      </w:pPr>
    </w:p>
    <w:p w14:paraId="354F78BA" w14:textId="44D755AE" w:rsidR="009A6A18" w:rsidRDefault="009A6A18" w:rsidP="009A6A18">
      <w:pPr>
        <w:rPr>
          <w:rFonts w:ascii="Arial" w:hAnsi="Arial" w:cs="Arial"/>
        </w:rPr>
      </w:pPr>
    </w:p>
    <w:p w14:paraId="13FED373" w14:textId="32029116" w:rsidR="009A6A18" w:rsidRDefault="009A6A18" w:rsidP="009A6A18">
      <w:pPr>
        <w:rPr>
          <w:rFonts w:ascii="Arial" w:hAnsi="Arial" w:cs="Arial"/>
        </w:rPr>
      </w:pPr>
    </w:p>
    <w:p w14:paraId="2784B636" w14:textId="294EF874" w:rsidR="009A6A18" w:rsidRDefault="009A6A18" w:rsidP="009A6A18">
      <w:pPr>
        <w:rPr>
          <w:rFonts w:ascii="Arial" w:hAnsi="Arial" w:cs="Arial"/>
        </w:rPr>
      </w:pPr>
    </w:p>
    <w:p w14:paraId="559E54E1" w14:textId="362B144E" w:rsidR="009A6A18" w:rsidRDefault="009A6A18" w:rsidP="009A6A18">
      <w:pPr>
        <w:rPr>
          <w:rFonts w:ascii="Arial" w:hAnsi="Arial" w:cs="Arial"/>
        </w:rPr>
      </w:pPr>
    </w:p>
    <w:p w14:paraId="191722DB" w14:textId="77777777" w:rsidR="009A6A18" w:rsidRPr="001B13FC" w:rsidRDefault="009A6A18" w:rsidP="009A6A18">
      <w:pPr>
        <w:rPr>
          <w:rFonts w:ascii="Arial" w:hAnsi="Arial" w:cs="Arial"/>
        </w:rPr>
      </w:pPr>
    </w:p>
    <w:p w14:paraId="0F03FB99" w14:textId="77777777" w:rsidR="00CB2DD7" w:rsidRDefault="00CB2DD7" w:rsidP="009A6A18">
      <w:pPr>
        <w:spacing w:before="100" w:beforeAutospacing="1" w:after="100" w:afterAutospacing="1"/>
        <w:jc w:val="both"/>
        <w:outlineLvl w:val="3"/>
        <w:rPr>
          <w:rFonts w:ascii="Arial" w:hAnsi="Arial" w:cs="Arial"/>
          <w:b/>
          <w:bCs/>
          <w:sz w:val="20"/>
          <w:szCs w:val="20"/>
          <w:u w:val="single"/>
        </w:rPr>
      </w:pPr>
    </w:p>
    <w:p w14:paraId="26D7CD36" w14:textId="77777777" w:rsidR="00CB2DD7" w:rsidRDefault="00CB2DD7" w:rsidP="009A6A18">
      <w:pPr>
        <w:spacing w:before="100" w:beforeAutospacing="1" w:after="100" w:afterAutospacing="1"/>
        <w:jc w:val="both"/>
        <w:outlineLvl w:val="3"/>
        <w:rPr>
          <w:rFonts w:ascii="Arial" w:hAnsi="Arial" w:cs="Arial"/>
          <w:b/>
          <w:bCs/>
          <w:sz w:val="20"/>
          <w:szCs w:val="20"/>
          <w:u w:val="single"/>
        </w:rPr>
      </w:pPr>
    </w:p>
    <w:p w14:paraId="337CF8B5" w14:textId="77777777" w:rsidR="009A6A18" w:rsidRPr="001B13FC" w:rsidRDefault="009A6A18" w:rsidP="009A6A18">
      <w:pPr>
        <w:spacing w:before="100" w:beforeAutospacing="1" w:after="100" w:afterAutospacing="1"/>
        <w:jc w:val="both"/>
        <w:outlineLvl w:val="3"/>
        <w:rPr>
          <w:rFonts w:ascii="Arial" w:hAnsi="Arial" w:cs="Arial"/>
          <w:b/>
          <w:bCs/>
          <w:sz w:val="20"/>
          <w:szCs w:val="20"/>
          <w:u w:val="single"/>
        </w:rPr>
      </w:pPr>
      <w:r w:rsidRPr="001B13FC">
        <w:rPr>
          <w:rFonts w:ascii="Arial" w:hAnsi="Arial" w:cs="Arial"/>
          <w:b/>
          <w:bCs/>
          <w:sz w:val="20"/>
          <w:szCs w:val="20"/>
          <w:u w:val="single"/>
        </w:rPr>
        <w:lastRenderedPageBreak/>
        <w:t xml:space="preserve">How to submit: </w:t>
      </w:r>
    </w:p>
    <w:p w14:paraId="5C5E144A" w14:textId="77777777" w:rsidR="009A6A18" w:rsidRPr="001B13FC" w:rsidRDefault="009A6A18" w:rsidP="009A6A18">
      <w:pPr>
        <w:tabs>
          <w:tab w:val="left" w:pos="7797"/>
        </w:tabs>
        <w:rPr>
          <w:rFonts w:ascii="Arial" w:hAnsi="Arial" w:cs="Arial"/>
          <w:b/>
          <w:sz w:val="20"/>
          <w:szCs w:val="20"/>
        </w:rPr>
      </w:pPr>
      <w:r w:rsidRPr="001B13FC">
        <w:rPr>
          <w:rFonts w:ascii="Arial" w:hAnsi="Arial" w:cs="Arial"/>
          <w:b/>
          <w:sz w:val="20"/>
          <w:szCs w:val="20"/>
        </w:rPr>
        <w:t>Written Coursework:</w:t>
      </w:r>
    </w:p>
    <w:p w14:paraId="203D413D" w14:textId="77777777" w:rsidR="009A6A18" w:rsidRPr="001B13FC" w:rsidRDefault="009A6A18" w:rsidP="009A6A18">
      <w:pPr>
        <w:tabs>
          <w:tab w:val="left" w:pos="7797"/>
        </w:tabs>
        <w:rPr>
          <w:rFonts w:ascii="Arial" w:hAnsi="Arial" w:cs="Arial"/>
          <w:sz w:val="20"/>
          <w:szCs w:val="20"/>
        </w:rPr>
      </w:pPr>
    </w:p>
    <w:p w14:paraId="68FC7947" w14:textId="77777777" w:rsidR="009A6A18" w:rsidRDefault="009A6A18" w:rsidP="009A6A18">
      <w:pPr>
        <w:tabs>
          <w:tab w:val="left" w:pos="7797"/>
        </w:tabs>
        <w:jc w:val="both"/>
        <w:rPr>
          <w:rFonts w:ascii="Arial" w:hAnsi="Arial" w:cs="Arial"/>
          <w:sz w:val="20"/>
          <w:szCs w:val="20"/>
        </w:rPr>
      </w:pPr>
      <w:r w:rsidRPr="001B13FC">
        <w:rPr>
          <w:rFonts w:ascii="Arial" w:hAnsi="Arial" w:cs="Arial"/>
          <w:sz w:val="20"/>
          <w:szCs w:val="20"/>
        </w:rPr>
        <w:t>Ensure that you consult your individual module guides for details on individual assessments.</w:t>
      </w:r>
    </w:p>
    <w:p w14:paraId="38C59ADF" w14:textId="77777777" w:rsidR="009A6A18" w:rsidRDefault="009A6A18" w:rsidP="009A6A18">
      <w:pPr>
        <w:tabs>
          <w:tab w:val="left" w:pos="7797"/>
        </w:tabs>
        <w:jc w:val="both"/>
        <w:rPr>
          <w:rFonts w:ascii="Arial" w:hAnsi="Arial" w:cs="Arial"/>
          <w:sz w:val="20"/>
          <w:szCs w:val="20"/>
        </w:rPr>
      </w:pPr>
    </w:p>
    <w:p w14:paraId="0FD31D14" w14:textId="77777777" w:rsidR="009A6A18" w:rsidRPr="001B13FC" w:rsidRDefault="009A6A18" w:rsidP="009A6A18">
      <w:pPr>
        <w:tabs>
          <w:tab w:val="left" w:pos="7797"/>
        </w:tabs>
        <w:jc w:val="both"/>
        <w:rPr>
          <w:rFonts w:ascii="Arial" w:hAnsi="Arial" w:cs="Arial"/>
          <w:b/>
          <w:sz w:val="20"/>
          <w:szCs w:val="20"/>
        </w:rPr>
      </w:pPr>
      <w:r w:rsidRPr="001B13FC">
        <w:rPr>
          <w:rFonts w:ascii="Arial" w:hAnsi="Arial" w:cs="Arial"/>
          <w:b/>
          <w:sz w:val="20"/>
          <w:szCs w:val="20"/>
        </w:rPr>
        <w:t>Presentation</w:t>
      </w:r>
    </w:p>
    <w:p w14:paraId="310F475B" w14:textId="77777777" w:rsidR="009A6A18" w:rsidRPr="001B13FC" w:rsidRDefault="009A6A18" w:rsidP="009A6A18">
      <w:pPr>
        <w:tabs>
          <w:tab w:val="left" w:pos="7797"/>
        </w:tabs>
        <w:jc w:val="both"/>
        <w:rPr>
          <w:rFonts w:ascii="Arial" w:hAnsi="Arial" w:cs="Arial"/>
          <w:b/>
          <w:sz w:val="20"/>
          <w:szCs w:val="20"/>
        </w:rPr>
      </w:pPr>
    </w:p>
    <w:p w14:paraId="323145A7" w14:textId="77777777" w:rsidR="009A6A18" w:rsidRPr="00860209" w:rsidRDefault="009A6A18" w:rsidP="009A6A18">
      <w:pPr>
        <w:tabs>
          <w:tab w:val="left" w:pos="7797"/>
        </w:tabs>
        <w:jc w:val="both"/>
        <w:rPr>
          <w:rFonts w:ascii="Arial" w:hAnsi="Arial" w:cs="Arial"/>
          <w:b/>
          <w:bCs/>
          <w:sz w:val="20"/>
          <w:szCs w:val="20"/>
        </w:rPr>
      </w:pPr>
      <w:r w:rsidRPr="00860209">
        <w:rPr>
          <w:rFonts w:ascii="Arial" w:hAnsi="Arial" w:cs="Arial"/>
          <w:b/>
          <w:bCs/>
          <w:sz w:val="20"/>
          <w:szCs w:val="20"/>
        </w:rPr>
        <w:t xml:space="preserve">The assignment itself </w:t>
      </w:r>
      <w:r w:rsidRPr="00860209">
        <w:rPr>
          <w:rFonts w:ascii="Arial" w:hAnsi="Arial" w:cs="Arial"/>
          <w:b/>
          <w:bCs/>
          <w:sz w:val="20"/>
          <w:szCs w:val="20"/>
          <w:u w:val="single"/>
        </w:rPr>
        <w:t>must</w:t>
      </w:r>
      <w:r w:rsidRPr="00860209">
        <w:rPr>
          <w:rFonts w:ascii="Arial" w:hAnsi="Arial" w:cs="Arial"/>
          <w:b/>
          <w:bCs/>
          <w:sz w:val="20"/>
          <w:szCs w:val="20"/>
        </w:rPr>
        <w:t xml:space="preserve"> be </w:t>
      </w:r>
      <w:r>
        <w:rPr>
          <w:rFonts w:ascii="Arial" w:hAnsi="Arial" w:cs="Arial"/>
          <w:b/>
          <w:bCs/>
          <w:sz w:val="20"/>
          <w:szCs w:val="20"/>
        </w:rPr>
        <w:t xml:space="preserve">submitted as a Word document </w:t>
      </w:r>
      <w:r w:rsidRPr="00860209">
        <w:rPr>
          <w:rFonts w:ascii="Arial" w:hAnsi="Arial" w:cs="Arial"/>
          <w:b/>
          <w:bCs/>
          <w:sz w:val="20"/>
          <w:szCs w:val="20"/>
        </w:rPr>
        <w:t>in Arial font size 11 and in double line spacing.</w:t>
      </w:r>
      <w:r>
        <w:rPr>
          <w:rFonts w:ascii="Arial" w:hAnsi="Arial" w:cs="Arial"/>
          <w:b/>
          <w:bCs/>
          <w:sz w:val="20"/>
          <w:szCs w:val="20"/>
        </w:rPr>
        <w:t xml:space="preserve">  </w:t>
      </w:r>
    </w:p>
    <w:p w14:paraId="2749D81C" w14:textId="77777777" w:rsidR="009A6A18" w:rsidRPr="001B13FC" w:rsidRDefault="009A6A18" w:rsidP="009A6A18">
      <w:pPr>
        <w:tabs>
          <w:tab w:val="left" w:pos="7797"/>
        </w:tabs>
        <w:jc w:val="both"/>
        <w:rPr>
          <w:rFonts w:ascii="Arial" w:hAnsi="Arial" w:cs="Arial"/>
          <w:sz w:val="20"/>
          <w:szCs w:val="20"/>
        </w:rPr>
      </w:pPr>
    </w:p>
    <w:p w14:paraId="56F465BD" w14:textId="77777777" w:rsidR="009A6A18" w:rsidRPr="001B13FC" w:rsidRDefault="009A6A18" w:rsidP="009A6A18">
      <w:pPr>
        <w:tabs>
          <w:tab w:val="left" w:pos="7797"/>
        </w:tabs>
        <w:jc w:val="both"/>
        <w:rPr>
          <w:rFonts w:ascii="Arial" w:hAnsi="Arial" w:cs="Arial"/>
          <w:sz w:val="20"/>
          <w:szCs w:val="20"/>
        </w:rPr>
      </w:pPr>
      <w:r w:rsidRPr="001B13FC">
        <w:rPr>
          <w:rFonts w:ascii="Arial" w:hAnsi="Arial" w:cs="Arial"/>
          <w:sz w:val="20"/>
          <w:szCs w:val="20"/>
        </w:rPr>
        <w:t xml:space="preserve">Your name must not appear on your assignment.  All assessed coursework is </w:t>
      </w:r>
      <w:r>
        <w:rPr>
          <w:rFonts w:ascii="Arial" w:hAnsi="Arial" w:cs="Arial"/>
          <w:sz w:val="20"/>
          <w:szCs w:val="20"/>
        </w:rPr>
        <w:t xml:space="preserve">blind </w:t>
      </w:r>
      <w:r w:rsidRPr="001B13FC">
        <w:rPr>
          <w:rFonts w:ascii="Arial" w:hAnsi="Arial" w:cs="Arial"/>
          <w:sz w:val="20"/>
          <w:szCs w:val="20"/>
        </w:rPr>
        <w:t xml:space="preserve">marked using your student registration number on your ID card.  Your student registration number and module name should appear on every page of your essay and each page should be numbered.  This is best achieved by use of the header and footer tool.  You are also required to put your student registration number and module title in the file name of your assignment when submitting on </w:t>
      </w:r>
      <w:r>
        <w:rPr>
          <w:rFonts w:ascii="Arial" w:hAnsi="Arial" w:cs="Arial"/>
          <w:sz w:val="20"/>
          <w:szCs w:val="20"/>
        </w:rPr>
        <w:t>Canvas</w:t>
      </w:r>
      <w:r w:rsidRPr="001B13FC">
        <w:rPr>
          <w:rFonts w:ascii="Arial" w:hAnsi="Arial" w:cs="Arial"/>
          <w:sz w:val="20"/>
          <w:szCs w:val="20"/>
        </w:rPr>
        <w:t xml:space="preserve"> (e.g. </w:t>
      </w:r>
      <w:r>
        <w:rPr>
          <w:rFonts w:ascii="Arial" w:hAnsi="Arial" w:cs="Arial"/>
          <w:sz w:val="20"/>
          <w:szCs w:val="20"/>
        </w:rPr>
        <w:t>Criminal Law/Understanding Crime and Deviance</w:t>
      </w:r>
      <w:r w:rsidRPr="001B13FC">
        <w:rPr>
          <w:rFonts w:ascii="Arial" w:hAnsi="Arial" w:cs="Arial"/>
          <w:sz w:val="20"/>
          <w:szCs w:val="20"/>
        </w:rPr>
        <w:t xml:space="preserve"> 14043489.doc).  </w:t>
      </w:r>
    </w:p>
    <w:p w14:paraId="78EFED02" w14:textId="77777777" w:rsidR="009A6A18" w:rsidRPr="001B13FC" w:rsidRDefault="009A6A18" w:rsidP="009A6A18">
      <w:pPr>
        <w:tabs>
          <w:tab w:val="left" w:pos="7797"/>
        </w:tabs>
        <w:jc w:val="both"/>
        <w:rPr>
          <w:rFonts w:ascii="Arial" w:hAnsi="Arial" w:cs="Arial"/>
          <w:sz w:val="20"/>
          <w:szCs w:val="20"/>
        </w:rPr>
      </w:pPr>
    </w:p>
    <w:p w14:paraId="27644E67" w14:textId="77777777" w:rsidR="009A6A18" w:rsidRPr="001B13FC" w:rsidRDefault="009A6A18" w:rsidP="009A6A18">
      <w:pPr>
        <w:tabs>
          <w:tab w:val="left" w:pos="7797"/>
        </w:tabs>
        <w:jc w:val="both"/>
        <w:rPr>
          <w:rFonts w:ascii="Arial" w:hAnsi="Arial" w:cs="Arial"/>
          <w:sz w:val="20"/>
          <w:szCs w:val="20"/>
        </w:rPr>
      </w:pPr>
    </w:p>
    <w:p w14:paraId="4E2095D1" w14:textId="77777777" w:rsidR="009A6A18" w:rsidRPr="001B13FC" w:rsidRDefault="009A6A18" w:rsidP="009A6A18">
      <w:pPr>
        <w:tabs>
          <w:tab w:val="left" w:pos="7797"/>
        </w:tabs>
        <w:jc w:val="both"/>
        <w:rPr>
          <w:rFonts w:ascii="Arial" w:hAnsi="Arial" w:cs="Arial"/>
          <w:b/>
          <w:sz w:val="20"/>
          <w:szCs w:val="20"/>
        </w:rPr>
      </w:pPr>
      <w:r w:rsidRPr="001B13FC">
        <w:rPr>
          <w:rFonts w:ascii="Arial" w:hAnsi="Arial" w:cs="Arial"/>
          <w:b/>
          <w:sz w:val="20"/>
          <w:szCs w:val="20"/>
        </w:rPr>
        <w:t>Length</w:t>
      </w:r>
    </w:p>
    <w:p w14:paraId="532048F1" w14:textId="77777777" w:rsidR="009A6A18" w:rsidRPr="001B13FC" w:rsidRDefault="009A6A18" w:rsidP="009A6A18">
      <w:pPr>
        <w:tabs>
          <w:tab w:val="left" w:pos="7797"/>
        </w:tabs>
        <w:jc w:val="both"/>
        <w:rPr>
          <w:rFonts w:ascii="Arial" w:hAnsi="Arial" w:cs="Arial"/>
          <w:sz w:val="20"/>
          <w:szCs w:val="20"/>
        </w:rPr>
      </w:pPr>
    </w:p>
    <w:p w14:paraId="189B3379" w14:textId="77777777" w:rsidR="009A6A18" w:rsidRPr="001B13FC" w:rsidRDefault="009A6A18" w:rsidP="009A6A18">
      <w:pPr>
        <w:tabs>
          <w:tab w:val="left" w:pos="7797"/>
        </w:tabs>
        <w:jc w:val="both"/>
        <w:rPr>
          <w:rFonts w:ascii="Arial" w:hAnsi="Arial" w:cs="Arial"/>
          <w:sz w:val="20"/>
          <w:szCs w:val="20"/>
        </w:rPr>
      </w:pPr>
      <w:r w:rsidRPr="001B13FC">
        <w:rPr>
          <w:rFonts w:ascii="Arial" w:hAnsi="Arial" w:cs="Arial"/>
          <w:sz w:val="20"/>
          <w:szCs w:val="20"/>
        </w:rPr>
        <w:t xml:space="preserve">Your </w:t>
      </w:r>
      <w:r>
        <w:rPr>
          <w:rFonts w:ascii="Arial" w:hAnsi="Arial" w:cs="Arial"/>
          <w:sz w:val="20"/>
          <w:szCs w:val="20"/>
        </w:rPr>
        <w:t xml:space="preserve">assessment has a </w:t>
      </w:r>
      <w:r w:rsidRPr="00D37637">
        <w:rPr>
          <w:rFonts w:ascii="Arial" w:hAnsi="Arial" w:cs="Arial"/>
          <w:b/>
          <w:bCs/>
          <w:sz w:val="20"/>
          <w:szCs w:val="20"/>
        </w:rPr>
        <w:t>maximum page limit</w:t>
      </w:r>
      <w:r>
        <w:rPr>
          <w:rFonts w:ascii="Arial" w:hAnsi="Arial" w:cs="Arial"/>
          <w:sz w:val="20"/>
          <w:szCs w:val="20"/>
        </w:rPr>
        <w:t xml:space="preserve">.  Your work must be submitted in </w:t>
      </w:r>
      <w:r w:rsidRPr="00860209">
        <w:rPr>
          <w:rFonts w:ascii="Arial" w:hAnsi="Arial" w:cs="Arial"/>
          <w:b/>
          <w:bCs/>
          <w:sz w:val="20"/>
          <w:szCs w:val="20"/>
        </w:rPr>
        <w:t>Arial font size 11 and double spaced.</w:t>
      </w:r>
      <w:r>
        <w:rPr>
          <w:rFonts w:ascii="Arial" w:hAnsi="Arial" w:cs="Arial"/>
          <w:b/>
          <w:bCs/>
          <w:sz w:val="20"/>
          <w:szCs w:val="20"/>
        </w:rPr>
        <w:t xml:space="preserve">  The margins must be the normal size assigned by Word (2.54 cm on both sides and top and bottom).</w:t>
      </w:r>
    </w:p>
    <w:p w14:paraId="15126E58" w14:textId="77777777" w:rsidR="009A6A18" w:rsidRDefault="009A6A18" w:rsidP="009A6A18">
      <w:pPr>
        <w:tabs>
          <w:tab w:val="left" w:pos="7797"/>
        </w:tabs>
        <w:jc w:val="both"/>
        <w:rPr>
          <w:rFonts w:ascii="Arial" w:hAnsi="Arial" w:cs="Arial"/>
          <w:sz w:val="20"/>
          <w:szCs w:val="20"/>
        </w:rPr>
      </w:pPr>
    </w:p>
    <w:p w14:paraId="7F1FE115" w14:textId="77777777" w:rsidR="009A6A18" w:rsidRPr="00860209" w:rsidRDefault="009A6A18" w:rsidP="009A6A18">
      <w:pPr>
        <w:jc w:val="both"/>
        <w:rPr>
          <w:rFonts w:ascii="Arial" w:hAnsi="Arial" w:cs="Arial"/>
          <w:b/>
          <w:bCs/>
          <w:sz w:val="20"/>
          <w:szCs w:val="20"/>
        </w:rPr>
      </w:pPr>
      <w:r w:rsidRPr="00860209">
        <w:rPr>
          <w:rFonts w:ascii="Arial" w:hAnsi="Arial" w:cs="Arial"/>
          <w:b/>
          <w:bCs/>
          <w:sz w:val="20"/>
          <w:szCs w:val="20"/>
        </w:rPr>
        <w:t xml:space="preserve">You must </w:t>
      </w:r>
      <w:r w:rsidRPr="00860209">
        <w:rPr>
          <w:rFonts w:ascii="Arial" w:hAnsi="Arial" w:cs="Arial"/>
          <w:b/>
          <w:bCs/>
          <w:sz w:val="20"/>
          <w:szCs w:val="20"/>
          <w:u w:val="single"/>
        </w:rPr>
        <w:t>not</w:t>
      </w:r>
      <w:r w:rsidRPr="00860209">
        <w:rPr>
          <w:rFonts w:ascii="Arial" w:hAnsi="Arial" w:cs="Arial"/>
          <w:b/>
          <w:bCs/>
          <w:sz w:val="20"/>
          <w:szCs w:val="20"/>
        </w:rPr>
        <w:t xml:space="preserve"> attempt to circumvent the page limit by </w:t>
      </w:r>
      <w:r>
        <w:rPr>
          <w:rFonts w:ascii="Arial" w:hAnsi="Arial" w:cs="Arial"/>
          <w:b/>
          <w:bCs/>
          <w:sz w:val="20"/>
          <w:szCs w:val="20"/>
        </w:rPr>
        <w:t>using a different</w:t>
      </w:r>
      <w:r w:rsidRPr="00860209">
        <w:rPr>
          <w:rFonts w:ascii="Arial" w:hAnsi="Arial" w:cs="Arial"/>
          <w:b/>
          <w:bCs/>
          <w:sz w:val="20"/>
          <w:szCs w:val="20"/>
        </w:rPr>
        <w:t xml:space="preserve"> font or </w:t>
      </w:r>
      <w:r>
        <w:rPr>
          <w:rFonts w:ascii="Arial" w:hAnsi="Arial" w:cs="Arial"/>
          <w:b/>
          <w:bCs/>
          <w:sz w:val="20"/>
          <w:szCs w:val="20"/>
        </w:rPr>
        <w:t xml:space="preserve">changing the line </w:t>
      </w:r>
      <w:r w:rsidRPr="00860209">
        <w:rPr>
          <w:rFonts w:ascii="Arial" w:hAnsi="Arial" w:cs="Arial"/>
          <w:b/>
          <w:bCs/>
          <w:sz w:val="20"/>
          <w:szCs w:val="20"/>
        </w:rPr>
        <w:t>spacing</w:t>
      </w:r>
      <w:r>
        <w:rPr>
          <w:rFonts w:ascii="Arial" w:hAnsi="Arial" w:cs="Arial"/>
          <w:b/>
          <w:bCs/>
          <w:sz w:val="20"/>
          <w:szCs w:val="20"/>
        </w:rPr>
        <w:t xml:space="preserve"> or margins</w:t>
      </w:r>
      <w:r w:rsidRPr="00860209">
        <w:rPr>
          <w:rFonts w:ascii="Arial" w:hAnsi="Arial" w:cs="Arial"/>
          <w:b/>
          <w:bCs/>
          <w:sz w:val="20"/>
          <w:szCs w:val="20"/>
        </w:rPr>
        <w:t xml:space="preserve">.  </w:t>
      </w:r>
    </w:p>
    <w:p w14:paraId="050AEEE6" w14:textId="77777777" w:rsidR="009A6A18" w:rsidRPr="001B13FC" w:rsidRDefault="009A6A18" w:rsidP="009A6A18">
      <w:pPr>
        <w:tabs>
          <w:tab w:val="left" w:pos="7797"/>
        </w:tabs>
        <w:jc w:val="both"/>
        <w:rPr>
          <w:rFonts w:ascii="Arial" w:hAnsi="Arial" w:cs="Arial"/>
          <w:sz w:val="20"/>
          <w:szCs w:val="20"/>
        </w:rPr>
      </w:pPr>
    </w:p>
    <w:p w14:paraId="0F7BA23C" w14:textId="77777777" w:rsidR="009A6A18" w:rsidRDefault="009A6A18" w:rsidP="009A6A18">
      <w:pPr>
        <w:jc w:val="both"/>
        <w:rPr>
          <w:rFonts w:ascii="Arial" w:hAnsi="Arial" w:cs="Arial"/>
          <w:sz w:val="20"/>
          <w:szCs w:val="20"/>
        </w:rPr>
      </w:pPr>
      <w:r>
        <w:rPr>
          <w:rFonts w:ascii="Arial" w:hAnsi="Arial" w:cs="Arial"/>
          <w:sz w:val="20"/>
          <w:szCs w:val="20"/>
        </w:rPr>
        <w:t>Page</w:t>
      </w:r>
      <w:r w:rsidRPr="00161984">
        <w:rPr>
          <w:rFonts w:ascii="Arial" w:hAnsi="Arial" w:cs="Arial"/>
          <w:sz w:val="20"/>
          <w:szCs w:val="20"/>
        </w:rPr>
        <w:t xml:space="preserve"> limits will be strictly applied as you are being assessed on your ability to produce an answer within a proscribed format.  Do </w:t>
      </w:r>
      <w:r w:rsidRPr="00161984">
        <w:rPr>
          <w:rFonts w:ascii="Arial" w:hAnsi="Arial" w:cs="Arial"/>
          <w:b/>
          <w:sz w:val="20"/>
          <w:szCs w:val="20"/>
          <w:u w:val="single"/>
        </w:rPr>
        <w:t>not</w:t>
      </w:r>
      <w:r w:rsidRPr="00161984">
        <w:rPr>
          <w:rFonts w:ascii="Arial" w:hAnsi="Arial" w:cs="Arial"/>
          <w:sz w:val="20"/>
          <w:szCs w:val="20"/>
        </w:rPr>
        <w:t xml:space="preserve"> exceed the </w:t>
      </w:r>
      <w:r>
        <w:rPr>
          <w:rFonts w:ascii="Arial" w:hAnsi="Arial" w:cs="Arial"/>
          <w:sz w:val="20"/>
          <w:szCs w:val="20"/>
        </w:rPr>
        <w:t>page</w:t>
      </w:r>
      <w:r w:rsidRPr="00161984">
        <w:rPr>
          <w:rFonts w:ascii="Arial" w:hAnsi="Arial" w:cs="Arial"/>
          <w:sz w:val="20"/>
          <w:szCs w:val="20"/>
        </w:rPr>
        <w:t xml:space="preserve"> limit in relation to your answer.  </w:t>
      </w:r>
      <w:r w:rsidRPr="00860209">
        <w:rPr>
          <w:rFonts w:ascii="Arial" w:hAnsi="Arial" w:cs="Arial"/>
          <w:b/>
          <w:bCs/>
          <w:sz w:val="20"/>
          <w:szCs w:val="20"/>
        </w:rPr>
        <w:t xml:space="preserve">Markers will not </w:t>
      </w:r>
      <w:r>
        <w:rPr>
          <w:rFonts w:ascii="Arial" w:hAnsi="Arial" w:cs="Arial"/>
          <w:b/>
          <w:bCs/>
          <w:sz w:val="20"/>
          <w:szCs w:val="20"/>
        </w:rPr>
        <w:t xml:space="preserve">mark any </w:t>
      </w:r>
      <w:r w:rsidRPr="00860209">
        <w:rPr>
          <w:rFonts w:ascii="Arial" w:hAnsi="Arial" w:cs="Arial"/>
          <w:b/>
          <w:bCs/>
          <w:sz w:val="20"/>
          <w:szCs w:val="20"/>
        </w:rPr>
        <w:t>work that appears beyond the prescribed number of pages</w:t>
      </w:r>
      <w:r>
        <w:rPr>
          <w:rFonts w:ascii="Arial" w:hAnsi="Arial" w:cs="Arial"/>
          <w:b/>
          <w:bCs/>
          <w:sz w:val="20"/>
          <w:szCs w:val="20"/>
        </w:rPr>
        <w:t xml:space="preserve"> and you will not be given any credit for the additional pages</w:t>
      </w:r>
      <w:r w:rsidRPr="00860209">
        <w:rPr>
          <w:rFonts w:ascii="Arial" w:hAnsi="Arial" w:cs="Arial"/>
          <w:b/>
          <w:bCs/>
          <w:sz w:val="20"/>
          <w:szCs w:val="20"/>
        </w:rPr>
        <w:t>.</w:t>
      </w:r>
    </w:p>
    <w:p w14:paraId="150B7F83" w14:textId="77777777" w:rsidR="009A6A18" w:rsidRDefault="009A6A18" w:rsidP="009A6A18">
      <w:pPr>
        <w:jc w:val="both"/>
        <w:rPr>
          <w:rFonts w:ascii="Arial" w:hAnsi="Arial" w:cs="Arial"/>
          <w:sz w:val="20"/>
          <w:szCs w:val="20"/>
        </w:rPr>
      </w:pPr>
    </w:p>
    <w:p w14:paraId="75278267" w14:textId="77777777" w:rsidR="009A6A18" w:rsidRPr="001B13FC" w:rsidRDefault="009A6A18" w:rsidP="009A6A18">
      <w:pPr>
        <w:tabs>
          <w:tab w:val="left" w:pos="7797"/>
        </w:tabs>
        <w:jc w:val="both"/>
        <w:rPr>
          <w:rFonts w:ascii="Arial" w:hAnsi="Arial" w:cs="Arial"/>
          <w:sz w:val="20"/>
          <w:szCs w:val="20"/>
        </w:rPr>
      </w:pPr>
      <w:r w:rsidRPr="001B13FC">
        <w:rPr>
          <w:rFonts w:ascii="Arial" w:hAnsi="Arial" w:cs="Arial"/>
          <w:sz w:val="20"/>
          <w:szCs w:val="20"/>
        </w:rPr>
        <w:t xml:space="preserve">The </w:t>
      </w:r>
      <w:r>
        <w:rPr>
          <w:rFonts w:ascii="Arial" w:hAnsi="Arial" w:cs="Arial"/>
          <w:sz w:val="20"/>
          <w:szCs w:val="20"/>
        </w:rPr>
        <w:t>page</w:t>
      </w:r>
      <w:r w:rsidRPr="001B13FC">
        <w:rPr>
          <w:rFonts w:ascii="Arial" w:hAnsi="Arial" w:cs="Arial"/>
          <w:sz w:val="20"/>
          <w:szCs w:val="20"/>
        </w:rPr>
        <w:t xml:space="preserve"> count for coursework will include footnotes</w:t>
      </w:r>
      <w:r>
        <w:rPr>
          <w:rFonts w:ascii="Arial" w:hAnsi="Arial" w:cs="Arial"/>
          <w:sz w:val="20"/>
          <w:szCs w:val="20"/>
        </w:rPr>
        <w:t xml:space="preserve"> and that has been taken into consideration.  The page count will not include</w:t>
      </w:r>
      <w:r w:rsidRPr="001B13FC">
        <w:rPr>
          <w:rFonts w:ascii="Arial" w:hAnsi="Arial" w:cs="Arial"/>
          <w:sz w:val="20"/>
          <w:szCs w:val="20"/>
        </w:rPr>
        <w:t xml:space="preserve"> the bibliography. </w:t>
      </w:r>
      <w:r>
        <w:rPr>
          <w:rFonts w:ascii="Arial" w:hAnsi="Arial" w:cs="Arial"/>
          <w:sz w:val="20"/>
          <w:szCs w:val="20"/>
        </w:rPr>
        <w:t>Think carefully about your use of footnotes as extensive footnotes will not be justification for exceeding the page limit.</w:t>
      </w:r>
    </w:p>
    <w:p w14:paraId="07C2A401" w14:textId="77777777" w:rsidR="009A6A18" w:rsidRPr="001B13FC" w:rsidRDefault="009A6A18" w:rsidP="009A6A18">
      <w:pPr>
        <w:tabs>
          <w:tab w:val="left" w:pos="7797"/>
        </w:tabs>
        <w:jc w:val="both"/>
        <w:rPr>
          <w:rFonts w:ascii="Arial" w:hAnsi="Arial" w:cs="Arial"/>
          <w:sz w:val="20"/>
          <w:szCs w:val="20"/>
        </w:rPr>
      </w:pPr>
    </w:p>
    <w:p w14:paraId="662F2B06" w14:textId="77777777" w:rsidR="009A6A18" w:rsidRPr="001B13FC" w:rsidRDefault="009A6A18" w:rsidP="009A6A18">
      <w:pPr>
        <w:tabs>
          <w:tab w:val="left" w:pos="7797"/>
        </w:tabs>
        <w:jc w:val="both"/>
        <w:rPr>
          <w:rFonts w:ascii="Arial" w:hAnsi="Arial" w:cs="Arial"/>
          <w:b/>
          <w:sz w:val="20"/>
          <w:szCs w:val="20"/>
        </w:rPr>
      </w:pPr>
      <w:r w:rsidRPr="001B13FC">
        <w:rPr>
          <w:rFonts w:ascii="Arial" w:hAnsi="Arial" w:cs="Arial"/>
          <w:b/>
          <w:sz w:val="20"/>
          <w:szCs w:val="20"/>
        </w:rPr>
        <w:t>Referencing</w:t>
      </w:r>
    </w:p>
    <w:p w14:paraId="3A9260AB" w14:textId="77777777" w:rsidR="009A6A18" w:rsidRPr="001B13FC" w:rsidRDefault="009A6A18" w:rsidP="009A6A18">
      <w:pPr>
        <w:tabs>
          <w:tab w:val="left" w:pos="7797"/>
        </w:tabs>
        <w:jc w:val="both"/>
        <w:rPr>
          <w:rFonts w:ascii="Arial" w:hAnsi="Arial" w:cs="Arial"/>
          <w:b/>
          <w:sz w:val="20"/>
          <w:szCs w:val="20"/>
        </w:rPr>
      </w:pPr>
    </w:p>
    <w:p w14:paraId="1C9351A5" w14:textId="77777777" w:rsidR="009A6A18" w:rsidRPr="001B13FC" w:rsidRDefault="009A6A18" w:rsidP="009A6A18">
      <w:pPr>
        <w:tabs>
          <w:tab w:val="left" w:pos="7797"/>
        </w:tabs>
        <w:jc w:val="both"/>
        <w:rPr>
          <w:rFonts w:ascii="Arial" w:hAnsi="Arial" w:cs="Arial"/>
          <w:sz w:val="20"/>
          <w:szCs w:val="20"/>
        </w:rPr>
      </w:pPr>
      <w:r w:rsidRPr="001B13FC">
        <w:rPr>
          <w:rFonts w:ascii="Arial" w:hAnsi="Arial" w:cs="Arial"/>
          <w:sz w:val="20"/>
          <w:szCs w:val="20"/>
        </w:rPr>
        <w:t>All quotations from</w:t>
      </w:r>
      <w:r>
        <w:rPr>
          <w:rFonts w:ascii="Arial" w:hAnsi="Arial" w:cs="Arial"/>
          <w:sz w:val="20"/>
          <w:szCs w:val="20"/>
        </w:rPr>
        <w:t xml:space="preserve"> </w:t>
      </w:r>
      <w:r w:rsidRPr="001B13FC">
        <w:rPr>
          <w:rFonts w:ascii="Arial" w:hAnsi="Arial" w:cs="Arial"/>
          <w:sz w:val="20"/>
          <w:szCs w:val="20"/>
        </w:rPr>
        <w:t>or use of other writers’ work must be properly referenced</w:t>
      </w:r>
      <w:r>
        <w:rPr>
          <w:rFonts w:ascii="Arial" w:hAnsi="Arial" w:cs="Arial"/>
          <w:sz w:val="20"/>
          <w:szCs w:val="20"/>
        </w:rPr>
        <w:t xml:space="preserve"> –</w:t>
      </w:r>
      <w:r w:rsidRPr="001B13FC">
        <w:rPr>
          <w:rFonts w:ascii="Arial" w:hAnsi="Arial" w:cs="Arial"/>
          <w:sz w:val="20"/>
          <w:szCs w:val="20"/>
        </w:rPr>
        <w:t xml:space="preserve"> that is, you must give the author, title, and date of publication of the work concerned, and the page or section number of the passage quoted or cited. Reference style should remain consistent throughout each submitted essay. </w:t>
      </w:r>
    </w:p>
    <w:p w14:paraId="5AAFF265" w14:textId="77777777" w:rsidR="009A6A18" w:rsidRPr="001B13FC" w:rsidRDefault="009A6A18" w:rsidP="009A6A18">
      <w:pPr>
        <w:tabs>
          <w:tab w:val="left" w:pos="7797"/>
        </w:tabs>
        <w:jc w:val="both"/>
        <w:rPr>
          <w:rFonts w:ascii="Arial" w:hAnsi="Arial" w:cs="Arial"/>
          <w:sz w:val="20"/>
          <w:szCs w:val="20"/>
        </w:rPr>
      </w:pPr>
    </w:p>
    <w:p w14:paraId="2AF2E329" w14:textId="77777777" w:rsidR="009A6A18" w:rsidRDefault="009A6A18" w:rsidP="009A6A18">
      <w:pPr>
        <w:tabs>
          <w:tab w:val="left" w:pos="7797"/>
        </w:tabs>
        <w:jc w:val="both"/>
        <w:rPr>
          <w:rFonts w:ascii="Arial" w:hAnsi="Arial" w:cs="Arial"/>
          <w:sz w:val="20"/>
          <w:szCs w:val="20"/>
        </w:rPr>
      </w:pPr>
      <w:r>
        <w:rPr>
          <w:rFonts w:ascii="Arial" w:hAnsi="Arial" w:cs="Arial"/>
          <w:sz w:val="20"/>
          <w:szCs w:val="20"/>
        </w:rPr>
        <w:t>For Law modules, y</w:t>
      </w:r>
      <w:r w:rsidRPr="001B13FC">
        <w:rPr>
          <w:rFonts w:ascii="Arial" w:hAnsi="Arial" w:cs="Arial"/>
          <w:sz w:val="20"/>
          <w:szCs w:val="20"/>
        </w:rPr>
        <w:t xml:space="preserve">our coursework answer should be properly referenced using the </w:t>
      </w:r>
      <w:r>
        <w:rPr>
          <w:rFonts w:ascii="Arial" w:hAnsi="Arial" w:cs="Arial"/>
          <w:sz w:val="20"/>
          <w:szCs w:val="20"/>
        </w:rPr>
        <w:t>OSCOLA Referencing System.</w:t>
      </w:r>
    </w:p>
    <w:p w14:paraId="3EB3E322" w14:textId="77777777" w:rsidR="009A6A18" w:rsidRPr="001B13FC" w:rsidRDefault="009A6A18" w:rsidP="009A6A18">
      <w:pPr>
        <w:tabs>
          <w:tab w:val="left" w:pos="7797"/>
        </w:tabs>
        <w:jc w:val="both"/>
        <w:rPr>
          <w:rFonts w:ascii="Arial" w:hAnsi="Arial" w:cs="Arial"/>
          <w:sz w:val="20"/>
          <w:szCs w:val="20"/>
        </w:rPr>
      </w:pPr>
    </w:p>
    <w:p w14:paraId="161D6021" w14:textId="77777777" w:rsidR="009A6A18" w:rsidRDefault="009A6A18" w:rsidP="009A6A18">
      <w:pPr>
        <w:tabs>
          <w:tab w:val="left" w:pos="7797"/>
        </w:tabs>
        <w:jc w:val="both"/>
        <w:rPr>
          <w:rFonts w:ascii="Arial" w:hAnsi="Arial" w:cs="Arial"/>
          <w:sz w:val="20"/>
          <w:szCs w:val="20"/>
        </w:rPr>
      </w:pPr>
      <w:r w:rsidRPr="001B13FC">
        <w:rPr>
          <w:rFonts w:ascii="Arial" w:hAnsi="Arial" w:cs="Arial"/>
          <w:sz w:val="20"/>
          <w:szCs w:val="20"/>
        </w:rPr>
        <w:t>You should include a full bibliography</w:t>
      </w:r>
      <w:r>
        <w:rPr>
          <w:rFonts w:ascii="Arial" w:hAnsi="Arial" w:cs="Arial"/>
          <w:sz w:val="20"/>
          <w:szCs w:val="20"/>
        </w:rPr>
        <w:t>/references list</w:t>
      </w:r>
      <w:r w:rsidRPr="001B13FC">
        <w:rPr>
          <w:rFonts w:ascii="Arial" w:hAnsi="Arial" w:cs="Arial"/>
          <w:sz w:val="20"/>
          <w:szCs w:val="20"/>
        </w:rPr>
        <w:t xml:space="preserve"> at the end of your work.</w:t>
      </w:r>
    </w:p>
    <w:p w14:paraId="7FFD7E1E" w14:textId="77777777" w:rsidR="009A6A18" w:rsidRDefault="009A6A18" w:rsidP="009A6A18">
      <w:pPr>
        <w:tabs>
          <w:tab w:val="left" w:pos="7797"/>
        </w:tabs>
        <w:jc w:val="both"/>
        <w:rPr>
          <w:rFonts w:ascii="Arial" w:hAnsi="Arial" w:cs="Arial"/>
          <w:sz w:val="20"/>
          <w:szCs w:val="20"/>
        </w:rPr>
      </w:pPr>
    </w:p>
    <w:p w14:paraId="3ADC4494" w14:textId="77777777" w:rsidR="009A6A18" w:rsidRDefault="009A6A18" w:rsidP="009A6A18">
      <w:pPr>
        <w:tabs>
          <w:tab w:val="left" w:pos="7797"/>
        </w:tabs>
        <w:jc w:val="both"/>
        <w:rPr>
          <w:rFonts w:ascii="Arial" w:hAnsi="Arial" w:cs="Arial"/>
          <w:sz w:val="20"/>
          <w:szCs w:val="20"/>
        </w:rPr>
      </w:pPr>
    </w:p>
    <w:p w14:paraId="2F3FA906" w14:textId="77777777" w:rsidR="009A6A18" w:rsidRPr="001734A3" w:rsidRDefault="009A6A18" w:rsidP="009A6A18">
      <w:pPr>
        <w:tabs>
          <w:tab w:val="left" w:pos="7797"/>
        </w:tabs>
        <w:jc w:val="both"/>
        <w:rPr>
          <w:rFonts w:ascii="Arial" w:hAnsi="Arial" w:cs="Arial"/>
          <w:b/>
          <w:sz w:val="20"/>
          <w:szCs w:val="20"/>
        </w:rPr>
      </w:pPr>
      <w:r w:rsidRPr="001734A3">
        <w:rPr>
          <w:rFonts w:ascii="Arial" w:hAnsi="Arial" w:cs="Arial"/>
          <w:b/>
          <w:sz w:val="20"/>
          <w:szCs w:val="20"/>
        </w:rPr>
        <w:t>Resources</w:t>
      </w:r>
    </w:p>
    <w:p w14:paraId="38441B0E" w14:textId="77777777" w:rsidR="009A6A18" w:rsidRDefault="009A6A18" w:rsidP="009A6A18">
      <w:pPr>
        <w:tabs>
          <w:tab w:val="left" w:pos="7797"/>
        </w:tabs>
        <w:jc w:val="both"/>
        <w:rPr>
          <w:rFonts w:ascii="Arial" w:hAnsi="Arial" w:cs="Arial"/>
          <w:sz w:val="20"/>
          <w:szCs w:val="20"/>
        </w:rPr>
      </w:pPr>
    </w:p>
    <w:p w14:paraId="27CEB3B1" w14:textId="77777777" w:rsidR="009A6A18" w:rsidRDefault="009A6A18" w:rsidP="009A6A18">
      <w:pPr>
        <w:rPr>
          <w:rFonts w:ascii="Arial" w:hAnsi="Arial" w:cs="Arial"/>
          <w:sz w:val="20"/>
          <w:szCs w:val="20"/>
        </w:rPr>
      </w:pPr>
      <w:r w:rsidRPr="001734A3">
        <w:rPr>
          <w:rFonts w:ascii="Arial" w:hAnsi="Arial" w:cs="Arial"/>
          <w:sz w:val="20"/>
          <w:szCs w:val="20"/>
        </w:rPr>
        <w:t xml:space="preserve">You should make good use of library resources as part of your research to find relevant cases, legislation and authoritative commentary such as monographs and journal articles. </w:t>
      </w:r>
    </w:p>
    <w:p w14:paraId="3FD04B57" w14:textId="77777777" w:rsidR="009A6A18" w:rsidRPr="001734A3" w:rsidRDefault="009A6A18" w:rsidP="009A6A18">
      <w:pPr>
        <w:rPr>
          <w:rFonts w:ascii="Arial" w:hAnsi="Arial" w:cs="Arial"/>
          <w:sz w:val="20"/>
          <w:szCs w:val="20"/>
        </w:rPr>
      </w:pPr>
    </w:p>
    <w:p w14:paraId="219BE176" w14:textId="77777777" w:rsidR="009A6A18" w:rsidRPr="001B13FC" w:rsidRDefault="009A6A18" w:rsidP="009A6A18">
      <w:pPr>
        <w:tabs>
          <w:tab w:val="left" w:pos="7797"/>
        </w:tabs>
        <w:jc w:val="both"/>
        <w:rPr>
          <w:rFonts w:ascii="Arial" w:hAnsi="Arial" w:cs="Arial"/>
          <w:sz w:val="20"/>
          <w:szCs w:val="20"/>
        </w:rPr>
      </w:pPr>
    </w:p>
    <w:p w14:paraId="742524E2" w14:textId="77777777" w:rsidR="009A6A18" w:rsidRPr="001B13FC" w:rsidRDefault="009A6A18" w:rsidP="009A6A18">
      <w:pPr>
        <w:tabs>
          <w:tab w:val="left" w:pos="7797"/>
        </w:tabs>
        <w:jc w:val="both"/>
        <w:rPr>
          <w:rFonts w:ascii="Arial" w:hAnsi="Arial" w:cs="Arial"/>
          <w:sz w:val="20"/>
          <w:szCs w:val="20"/>
        </w:rPr>
      </w:pPr>
    </w:p>
    <w:p w14:paraId="1FD3321D" w14:textId="77777777" w:rsidR="009A6A18" w:rsidRPr="001B13FC" w:rsidRDefault="009A6A18" w:rsidP="009A6A18">
      <w:pPr>
        <w:rPr>
          <w:rFonts w:ascii="Arial" w:hAnsi="Arial" w:cs="Arial"/>
          <w:b/>
          <w:bCs/>
          <w:sz w:val="20"/>
          <w:szCs w:val="20"/>
          <w:u w:val="single"/>
        </w:rPr>
      </w:pPr>
      <w:r w:rsidRPr="001B13FC">
        <w:rPr>
          <w:rFonts w:ascii="Arial" w:hAnsi="Arial" w:cs="Arial"/>
          <w:b/>
          <w:bCs/>
          <w:sz w:val="20"/>
          <w:szCs w:val="20"/>
          <w:u w:val="single"/>
        </w:rPr>
        <w:lastRenderedPageBreak/>
        <w:t>OSCOLA Quick Reference Guide</w:t>
      </w:r>
    </w:p>
    <w:p w14:paraId="043639C3" w14:textId="77777777" w:rsidR="009A6A18" w:rsidRPr="001B13FC" w:rsidRDefault="009A6A18" w:rsidP="009A6A18">
      <w:pPr>
        <w:rPr>
          <w:rFonts w:ascii="Arial" w:hAnsi="Arial" w:cs="Arial"/>
          <w:b/>
          <w:bCs/>
          <w:sz w:val="20"/>
          <w:szCs w:val="20"/>
          <w:u w:val="single"/>
        </w:rPr>
      </w:pPr>
    </w:p>
    <w:p w14:paraId="2F529C4C"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Primary Sources</w:t>
      </w:r>
    </w:p>
    <w:p w14:paraId="0F42DAC4"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Do not use full stops in abbreviations. Separate citations with a semi-colon.</w:t>
      </w:r>
    </w:p>
    <w:p w14:paraId="12CF4BCD"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Cases</w:t>
      </w:r>
    </w:p>
    <w:p w14:paraId="359BAC99"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Give the party names, followed by the neutral citation, followed by the </w:t>
      </w:r>
      <w:r w:rsidRPr="001B13FC">
        <w:rPr>
          <w:rFonts w:ascii="Arial" w:hAnsi="Arial" w:cs="Arial"/>
          <w:i/>
          <w:iCs/>
          <w:sz w:val="20"/>
          <w:szCs w:val="20"/>
        </w:rPr>
        <w:t xml:space="preserve">Law Reports </w:t>
      </w:r>
      <w:r w:rsidRPr="001B13FC">
        <w:rPr>
          <w:rFonts w:ascii="Arial" w:hAnsi="Arial" w:cs="Arial"/>
          <w:sz w:val="20"/>
          <w:szCs w:val="20"/>
        </w:rPr>
        <w:t>citation (</w:t>
      </w:r>
      <w:proofErr w:type="spellStart"/>
      <w:r w:rsidRPr="001B13FC">
        <w:rPr>
          <w:rFonts w:ascii="Arial" w:hAnsi="Arial" w:cs="Arial"/>
          <w:sz w:val="20"/>
          <w:szCs w:val="20"/>
        </w:rPr>
        <w:t>eg</w:t>
      </w:r>
      <w:proofErr w:type="spellEnd"/>
      <w:r w:rsidRPr="001B13FC">
        <w:rPr>
          <w:rFonts w:ascii="Arial" w:hAnsi="Arial" w:cs="Arial"/>
          <w:sz w:val="20"/>
          <w:szCs w:val="20"/>
        </w:rPr>
        <w:t xml:space="preserve"> AC, </w:t>
      </w:r>
      <w:proofErr w:type="spellStart"/>
      <w:r w:rsidRPr="001B13FC">
        <w:rPr>
          <w:rFonts w:ascii="Arial" w:hAnsi="Arial" w:cs="Arial"/>
          <w:sz w:val="20"/>
          <w:szCs w:val="20"/>
        </w:rPr>
        <w:t>Ch</w:t>
      </w:r>
      <w:proofErr w:type="spellEnd"/>
      <w:r w:rsidRPr="001B13FC">
        <w:rPr>
          <w:rFonts w:ascii="Arial" w:hAnsi="Arial" w:cs="Arial"/>
          <w:sz w:val="20"/>
          <w:szCs w:val="20"/>
        </w:rPr>
        <w:t xml:space="preserve">, QB). If there is no neutral citation, give the </w:t>
      </w:r>
      <w:r w:rsidRPr="001B13FC">
        <w:rPr>
          <w:rFonts w:ascii="Arial" w:hAnsi="Arial" w:cs="Arial"/>
          <w:i/>
          <w:iCs/>
          <w:sz w:val="20"/>
          <w:szCs w:val="20"/>
        </w:rPr>
        <w:t xml:space="preserve">Law Reports </w:t>
      </w:r>
      <w:r w:rsidRPr="001B13FC">
        <w:rPr>
          <w:rFonts w:ascii="Arial" w:hAnsi="Arial" w:cs="Arial"/>
          <w:sz w:val="20"/>
          <w:szCs w:val="20"/>
        </w:rPr>
        <w:t xml:space="preserve">citation followed by the court in brackets. If the case is not reported in the </w:t>
      </w:r>
      <w:r w:rsidRPr="001B13FC">
        <w:rPr>
          <w:rFonts w:ascii="Arial" w:hAnsi="Arial" w:cs="Arial"/>
          <w:i/>
          <w:iCs/>
          <w:sz w:val="20"/>
          <w:szCs w:val="20"/>
        </w:rPr>
        <w:t>Law Reports</w:t>
      </w:r>
      <w:r w:rsidRPr="001B13FC">
        <w:rPr>
          <w:rFonts w:ascii="Arial" w:hAnsi="Arial" w:cs="Arial"/>
          <w:sz w:val="20"/>
          <w:szCs w:val="20"/>
        </w:rPr>
        <w:t>, cite the All ER or the WLR, or failing that a specialist report.</w:t>
      </w:r>
    </w:p>
    <w:p w14:paraId="30393B1B" w14:textId="77777777" w:rsidR="009A6A18" w:rsidRPr="001B13FC" w:rsidRDefault="009A6A18" w:rsidP="009A6A18">
      <w:pPr>
        <w:spacing w:after="200" w:line="276" w:lineRule="auto"/>
        <w:rPr>
          <w:rFonts w:ascii="Arial" w:hAnsi="Arial" w:cs="Arial"/>
          <w:sz w:val="20"/>
          <w:szCs w:val="20"/>
        </w:rPr>
      </w:pPr>
      <w:proofErr w:type="spellStart"/>
      <w:r w:rsidRPr="001B13FC">
        <w:rPr>
          <w:rFonts w:ascii="Arial" w:hAnsi="Arial" w:cs="Arial"/>
          <w:i/>
          <w:iCs/>
          <w:sz w:val="20"/>
          <w:szCs w:val="20"/>
        </w:rPr>
        <w:t>Corr</w:t>
      </w:r>
      <w:proofErr w:type="spellEnd"/>
      <w:r w:rsidRPr="001B13FC">
        <w:rPr>
          <w:rFonts w:ascii="Arial" w:hAnsi="Arial" w:cs="Arial"/>
          <w:i/>
          <w:iCs/>
          <w:sz w:val="20"/>
          <w:szCs w:val="20"/>
        </w:rPr>
        <w:t xml:space="preserve"> v IBC Vehicles Ltd </w:t>
      </w:r>
      <w:r w:rsidRPr="001B13FC">
        <w:rPr>
          <w:rFonts w:ascii="Arial" w:hAnsi="Arial" w:cs="Arial"/>
          <w:sz w:val="20"/>
          <w:szCs w:val="20"/>
        </w:rPr>
        <w:t>[2008] UKHL 13, [2008] 1 AC 884</w:t>
      </w:r>
    </w:p>
    <w:p w14:paraId="1E9D4644"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R (Roberts) v Parole Board </w:t>
      </w:r>
      <w:r w:rsidRPr="001B13FC">
        <w:rPr>
          <w:rFonts w:ascii="Arial" w:hAnsi="Arial" w:cs="Arial"/>
          <w:sz w:val="20"/>
          <w:szCs w:val="20"/>
        </w:rPr>
        <w:t xml:space="preserve">[2004] EWCA </w:t>
      </w:r>
      <w:proofErr w:type="spellStart"/>
      <w:r w:rsidRPr="001B13FC">
        <w:rPr>
          <w:rFonts w:ascii="Arial" w:hAnsi="Arial" w:cs="Arial"/>
          <w:sz w:val="20"/>
          <w:szCs w:val="20"/>
        </w:rPr>
        <w:t>Civ</w:t>
      </w:r>
      <w:proofErr w:type="spellEnd"/>
      <w:r w:rsidRPr="001B13FC">
        <w:rPr>
          <w:rFonts w:ascii="Arial" w:hAnsi="Arial" w:cs="Arial"/>
          <w:sz w:val="20"/>
          <w:szCs w:val="20"/>
        </w:rPr>
        <w:t xml:space="preserve"> 1031, [2005] QB 410</w:t>
      </w:r>
    </w:p>
    <w:p w14:paraId="129D4ECF"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Page v Smith </w:t>
      </w:r>
      <w:r w:rsidRPr="001B13FC">
        <w:rPr>
          <w:rFonts w:ascii="Arial" w:hAnsi="Arial" w:cs="Arial"/>
          <w:sz w:val="20"/>
          <w:szCs w:val="20"/>
        </w:rPr>
        <w:t>[1996] AC 155 (HL)</w:t>
      </w:r>
    </w:p>
    <w:p w14:paraId="37E52634"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When pinpointing, give paragraph numbers in square brackets at the end of the citation. If the judgment has no paragraph numbers, provide the page number pinpoint after the court.</w:t>
      </w:r>
    </w:p>
    <w:p w14:paraId="6CF76BE9" w14:textId="77777777" w:rsidR="009A6A18" w:rsidRPr="001B13FC" w:rsidRDefault="009A6A18" w:rsidP="009A6A18">
      <w:pPr>
        <w:spacing w:after="200" w:line="276" w:lineRule="auto"/>
        <w:rPr>
          <w:rFonts w:ascii="Arial" w:hAnsi="Arial" w:cs="Arial"/>
          <w:sz w:val="20"/>
          <w:szCs w:val="20"/>
        </w:rPr>
      </w:pPr>
      <w:proofErr w:type="spellStart"/>
      <w:r w:rsidRPr="001B13FC">
        <w:rPr>
          <w:rFonts w:ascii="Arial" w:hAnsi="Arial" w:cs="Arial"/>
          <w:i/>
          <w:iCs/>
          <w:sz w:val="20"/>
          <w:szCs w:val="20"/>
        </w:rPr>
        <w:t>Callery</w:t>
      </w:r>
      <w:proofErr w:type="spellEnd"/>
      <w:r w:rsidRPr="001B13FC">
        <w:rPr>
          <w:rFonts w:ascii="Arial" w:hAnsi="Arial" w:cs="Arial"/>
          <w:i/>
          <w:iCs/>
          <w:sz w:val="20"/>
          <w:szCs w:val="20"/>
        </w:rPr>
        <w:t xml:space="preserve"> v </w:t>
      </w:r>
      <w:proofErr w:type="spellStart"/>
      <w:r w:rsidRPr="001B13FC">
        <w:rPr>
          <w:rFonts w:ascii="Arial" w:hAnsi="Arial" w:cs="Arial"/>
          <w:i/>
          <w:iCs/>
          <w:sz w:val="20"/>
          <w:szCs w:val="20"/>
        </w:rPr>
        <w:t>Gray</w:t>
      </w:r>
      <w:proofErr w:type="spellEnd"/>
      <w:r w:rsidRPr="001B13FC">
        <w:rPr>
          <w:rFonts w:ascii="Arial" w:hAnsi="Arial" w:cs="Arial"/>
          <w:i/>
          <w:iCs/>
          <w:sz w:val="20"/>
          <w:szCs w:val="20"/>
        </w:rPr>
        <w:t xml:space="preserve"> </w:t>
      </w:r>
      <w:r w:rsidRPr="001B13FC">
        <w:rPr>
          <w:rFonts w:ascii="Arial" w:hAnsi="Arial" w:cs="Arial"/>
          <w:sz w:val="20"/>
          <w:szCs w:val="20"/>
        </w:rPr>
        <w:t xml:space="preserve">[2001] EWCA </w:t>
      </w:r>
      <w:proofErr w:type="spellStart"/>
      <w:r w:rsidRPr="001B13FC">
        <w:rPr>
          <w:rFonts w:ascii="Arial" w:hAnsi="Arial" w:cs="Arial"/>
          <w:sz w:val="20"/>
          <w:szCs w:val="20"/>
        </w:rPr>
        <w:t>Civ</w:t>
      </w:r>
      <w:proofErr w:type="spellEnd"/>
      <w:r w:rsidRPr="001B13FC">
        <w:rPr>
          <w:rFonts w:ascii="Arial" w:hAnsi="Arial" w:cs="Arial"/>
          <w:sz w:val="20"/>
          <w:szCs w:val="20"/>
        </w:rPr>
        <w:t xml:space="preserve"> 1117, [2001] 1 WLR 2112 [42], [45]</w:t>
      </w:r>
    </w:p>
    <w:p w14:paraId="6AF3AD5F"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Bunt v Tilley </w:t>
      </w:r>
      <w:r w:rsidRPr="001B13FC">
        <w:rPr>
          <w:rFonts w:ascii="Arial" w:hAnsi="Arial" w:cs="Arial"/>
          <w:sz w:val="20"/>
          <w:szCs w:val="20"/>
        </w:rPr>
        <w:t>[2006] EWHC 407 (QB), [2006] 3 All ER 336 [1]</w:t>
      </w:r>
      <w:proofErr w:type="gramStart"/>
      <w:r w:rsidRPr="001B13FC">
        <w:rPr>
          <w:rFonts w:ascii="Arial" w:hAnsi="Arial" w:cs="Arial"/>
          <w:sz w:val="20"/>
          <w:szCs w:val="20"/>
        </w:rPr>
        <w:t>–[</w:t>
      </w:r>
      <w:proofErr w:type="gramEnd"/>
      <w:r w:rsidRPr="001B13FC">
        <w:rPr>
          <w:rFonts w:ascii="Arial" w:hAnsi="Arial" w:cs="Arial"/>
          <w:sz w:val="20"/>
          <w:szCs w:val="20"/>
        </w:rPr>
        <w:t>37]</w:t>
      </w:r>
    </w:p>
    <w:p w14:paraId="214F0CBA"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R v Leeds County </w:t>
      </w:r>
      <w:r w:rsidRPr="001B13FC">
        <w:rPr>
          <w:rFonts w:ascii="Arial" w:hAnsi="Arial" w:cs="Arial"/>
          <w:sz w:val="20"/>
          <w:szCs w:val="20"/>
        </w:rPr>
        <w:t>C</w:t>
      </w:r>
      <w:r w:rsidRPr="001B13FC">
        <w:rPr>
          <w:rFonts w:ascii="Arial" w:hAnsi="Arial" w:cs="Arial"/>
          <w:i/>
          <w:iCs/>
          <w:sz w:val="20"/>
          <w:szCs w:val="20"/>
        </w:rPr>
        <w:t xml:space="preserve">ourt, ex p Morris </w:t>
      </w:r>
      <w:r w:rsidRPr="001B13FC">
        <w:rPr>
          <w:rFonts w:ascii="Arial" w:hAnsi="Arial" w:cs="Arial"/>
          <w:sz w:val="20"/>
          <w:szCs w:val="20"/>
        </w:rPr>
        <w:t>[1990] QB 523 (QB) 530–31</w:t>
      </w:r>
    </w:p>
    <w:p w14:paraId="70A7EEBE"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If citing a particular judge:</w:t>
      </w:r>
    </w:p>
    <w:p w14:paraId="757EF18C"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Arscott v The Coal Authority </w:t>
      </w:r>
      <w:r w:rsidRPr="001B13FC">
        <w:rPr>
          <w:rFonts w:ascii="Arial" w:hAnsi="Arial" w:cs="Arial"/>
          <w:sz w:val="20"/>
          <w:szCs w:val="20"/>
        </w:rPr>
        <w:t xml:space="preserve">[2004] EWCA </w:t>
      </w:r>
      <w:proofErr w:type="spellStart"/>
      <w:r w:rsidRPr="001B13FC">
        <w:rPr>
          <w:rFonts w:ascii="Arial" w:hAnsi="Arial" w:cs="Arial"/>
          <w:sz w:val="20"/>
          <w:szCs w:val="20"/>
        </w:rPr>
        <w:t>Civ</w:t>
      </w:r>
      <w:proofErr w:type="spellEnd"/>
      <w:r w:rsidRPr="001B13FC">
        <w:rPr>
          <w:rFonts w:ascii="Arial" w:hAnsi="Arial" w:cs="Arial"/>
          <w:sz w:val="20"/>
          <w:szCs w:val="20"/>
        </w:rPr>
        <w:t xml:space="preserve"> 892, [2005] </w:t>
      </w:r>
      <w:proofErr w:type="spellStart"/>
      <w:r w:rsidRPr="001B13FC">
        <w:rPr>
          <w:rFonts w:ascii="Arial" w:hAnsi="Arial" w:cs="Arial"/>
          <w:sz w:val="20"/>
          <w:szCs w:val="20"/>
        </w:rPr>
        <w:t>Env</w:t>
      </w:r>
      <w:proofErr w:type="spellEnd"/>
      <w:r w:rsidRPr="001B13FC">
        <w:rPr>
          <w:rFonts w:ascii="Arial" w:hAnsi="Arial" w:cs="Arial"/>
          <w:sz w:val="20"/>
          <w:szCs w:val="20"/>
        </w:rPr>
        <w:t xml:space="preserve"> LR 6 [27] (Laws LJ)</w:t>
      </w:r>
    </w:p>
    <w:p w14:paraId="220571E3"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Statutes and statutory instruments</w:t>
      </w:r>
    </w:p>
    <w:p w14:paraId="45EEC5D7"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Act of Supremacy 1558</w:t>
      </w:r>
    </w:p>
    <w:p w14:paraId="7428A1AB"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Human Rights Act 1998, s 15(1)(b)</w:t>
      </w:r>
    </w:p>
    <w:p w14:paraId="55CF11C9"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Penalties for Disorderly Behaviour (Amendment of Minimum Age) Order 2004, SI 2004/3166</w:t>
      </w:r>
    </w:p>
    <w:p w14:paraId="03EA1ED2"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EU legislation and cases</w:t>
      </w:r>
    </w:p>
    <w:p w14:paraId="47AD06C0"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Consolidated Version of the Treaty on European Union [2008] OJ C115/13</w:t>
      </w:r>
    </w:p>
    <w:p w14:paraId="53E8D0E3"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Council Regulation (EC) 139/2004 on the control of concentrations between undertakings (EC Merger Regulation) [2004] OJ L24/1, art 5</w:t>
      </w:r>
    </w:p>
    <w:p w14:paraId="25A265D7"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Case C–176/03 </w:t>
      </w:r>
      <w:r w:rsidRPr="001B13FC">
        <w:rPr>
          <w:rFonts w:ascii="Arial" w:hAnsi="Arial" w:cs="Arial"/>
          <w:i/>
          <w:iCs/>
          <w:sz w:val="20"/>
          <w:szCs w:val="20"/>
        </w:rPr>
        <w:t xml:space="preserve">Commission v Council </w:t>
      </w:r>
      <w:r w:rsidRPr="001B13FC">
        <w:rPr>
          <w:rFonts w:ascii="Arial" w:hAnsi="Arial" w:cs="Arial"/>
          <w:sz w:val="20"/>
          <w:szCs w:val="20"/>
        </w:rPr>
        <w:t>[2005] ECR I–7879, paras 47–48</w:t>
      </w:r>
    </w:p>
    <w:p w14:paraId="6229A69F"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European Court of Human Rights</w:t>
      </w:r>
    </w:p>
    <w:p w14:paraId="72EA0078" w14:textId="77777777" w:rsidR="009A6A18" w:rsidRPr="001B13FC" w:rsidRDefault="009A6A18" w:rsidP="009A6A18">
      <w:pPr>
        <w:spacing w:after="200" w:line="276" w:lineRule="auto"/>
        <w:rPr>
          <w:rFonts w:ascii="Arial" w:hAnsi="Arial" w:cs="Arial"/>
          <w:sz w:val="20"/>
          <w:szCs w:val="20"/>
        </w:rPr>
      </w:pPr>
      <w:proofErr w:type="spellStart"/>
      <w:r w:rsidRPr="001B13FC">
        <w:rPr>
          <w:rFonts w:ascii="Arial" w:hAnsi="Arial" w:cs="Arial"/>
          <w:i/>
          <w:iCs/>
          <w:sz w:val="20"/>
          <w:szCs w:val="20"/>
        </w:rPr>
        <w:t>Omojudi</w:t>
      </w:r>
      <w:proofErr w:type="spellEnd"/>
      <w:r w:rsidRPr="001B13FC">
        <w:rPr>
          <w:rFonts w:ascii="Arial" w:hAnsi="Arial" w:cs="Arial"/>
          <w:i/>
          <w:iCs/>
          <w:sz w:val="20"/>
          <w:szCs w:val="20"/>
        </w:rPr>
        <w:t xml:space="preserve"> v UK </w:t>
      </w:r>
      <w:r w:rsidRPr="001B13FC">
        <w:rPr>
          <w:rFonts w:ascii="Arial" w:hAnsi="Arial" w:cs="Arial"/>
          <w:sz w:val="20"/>
          <w:szCs w:val="20"/>
        </w:rPr>
        <w:t>(2009) 51 EHRR 10</w:t>
      </w:r>
    </w:p>
    <w:p w14:paraId="1620EC37"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Osman v UK </w:t>
      </w:r>
      <w:r w:rsidRPr="001B13FC">
        <w:rPr>
          <w:rFonts w:ascii="Arial" w:hAnsi="Arial" w:cs="Arial"/>
          <w:sz w:val="20"/>
          <w:szCs w:val="20"/>
        </w:rPr>
        <w:t>ECHR 1998–VIII 3124</w:t>
      </w:r>
    </w:p>
    <w:p w14:paraId="0812ADC2"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Balogh v Hungary </w:t>
      </w:r>
      <w:r w:rsidRPr="001B13FC">
        <w:rPr>
          <w:rFonts w:ascii="Arial" w:hAnsi="Arial" w:cs="Arial"/>
          <w:sz w:val="20"/>
          <w:szCs w:val="20"/>
        </w:rPr>
        <w:t>App no 47940/99 (ECHR, 20 July 2004)</w:t>
      </w:r>
    </w:p>
    <w:p w14:paraId="4FA0B2A8"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lastRenderedPageBreak/>
        <w:t xml:space="preserve">Simpson v UK </w:t>
      </w:r>
      <w:r w:rsidRPr="001B13FC">
        <w:rPr>
          <w:rFonts w:ascii="Arial" w:hAnsi="Arial" w:cs="Arial"/>
          <w:sz w:val="20"/>
          <w:szCs w:val="20"/>
        </w:rPr>
        <w:t>(1989) 64 DR 188</w:t>
      </w:r>
    </w:p>
    <w:p w14:paraId="62F2C64C"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Secondary Sources</w:t>
      </w:r>
    </w:p>
    <w:p w14:paraId="16AE47B3"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Books</w:t>
      </w:r>
    </w:p>
    <w:p w14:paraId="37015BB2"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Give the author’s name in the same form as in the publication, except in bibliographies, where you should give only the surname followed by the initial(s). Give relevant information about editions, translators and so forth before the publisher, and give page numbers at the end of the citation, after the brackets. </w:t>
      </w:r>
    </w:p>
    <w:p w14:paraId="4A2781F2"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Thomas Hobbes, </w:t>
      </w:r>
      <w:r w:rsidRPr="001B13FC">
        <w:rPr>
          <w:rFonts w:ascii="Arial" w:hAnsi="Arial" w:cs="Arial"/>
          <w:i/>
          <w:iCs/>
          <w:sz w:val="20"/>
          <w:szCs w:val="20"/>
        </w:rPr>
        <w:t xml:space="preserve">Leviathan </w:t>
      </w:r>
      <w:r w:rsidRPr="001B13FC">
        <w:rPr>
          <w:rFonts w:ascii="Arial" w:hAnsi="Arial" w:cs="Arial"/>
          <w:sz w:val="20"/>
          <w:szCs w:val="20"/>
        </w:rPr>
        <w:t>(first published 1651, Penguin 1985) 268</w:t>
      </w:r>
    </w:p>
    <w:p w14:paraId="68B10949"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Gareth Jones, </w:t>
      </w:r>
      <w:r w:rsidRPr="001B13FC">
        <w:rPr>
          <w:rFonts w:ascii="Arial" w:hAnsi="Arial" w:cs="Arial"/>
          <w:i/>
          <w:iCs/>
          <w:sz w:val="20"/>
          <w:szCs w:val="20"/>
        </w:rPr>
        <w:t xml:space="preserve">Goff and Jones: The Law of Restitution </w:t>
      </w:r>
      <w:r w:rsidRPr="001B13FC">
        <w:rPr>
          <w:rFonts w:ascii="Arial" w:hAnsi="Arial" w:cs="Arial"/>
          <w:sz w:val="20"/>
          <w:szCs w:val="20"/>
        </w:rPr>
        <w:t xml:space="preserve">(1st supp, 7th </w:t>
      </w:r>
      <w:proofErr w:type="spellStart"/>
      <w:r w:rsidRPr="001B13FC">
        <w:rPr>
          <w:rFonts w:ascii="Arial" w:hAnsi="Arial" w:cs="Arial"/>
          <w:sz w:val="20"/>
          <w:szCs w:val="20"/>
        </w:rPr>
        <w:t>edn</w:t>
      </w:r>
      <w:proofErr w:type="spellEnd"/>
      <w:r w:rsidRPr="001B13FC">
        <w:rPr>
          <w:rFonts w:ascii="Arial" w:hAnsi="Arial" w:cs="Arial"/>
          <w:sz w:val="20"/>
          <w:szCs w:val="20"/>
        </w:rPr>
        <w:t>, Sweet &amp; Maxwell 2009)</w:t>
      </w:r>
    </w:p>
    <w:p w14:paraId="6ABE36B2"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K </w:t>
      </w:r>
      <w:proofErr w:type="spellStart"/>
      <w:r w:rsidRPr="001B13FC">
        <w:rPr>
          <w:rFonts w:ascii="Arial" w:hAnsi="Arial" w:cs="Arial"/>
          <w:sz w:val="20"/>
          <w:szCs w:val="20"/>
        </w:rPr>
        <w:t>Zweigert</w:t>
      </w:r>
      <w:proofErr w:type="spellEnd"/>
      <w:r w:rsidRPr="001B13FC">
        <w:rPr>
          <w:rFonts w:ascii="Arial" w:hAnsi="Arial" w:cs="Arial"/>
          <w:sz w:val="20"/>
          <w:szCs w:val="20"/>
        </w:rPr>
        <w:t xml:space="preserve"> and H </w:t>
      </w:r>
      <w:proofErr w:type="spellStart"/>
      <w:r w:rsidRPr="001B13FC">
        <w:rPr>
          <w:rFonts w:ascii="Arial" w:hAnsi="Arial" w:cs="Arial"/>
          <w:sz w:val="20"/>
          <w:szCs w:val="20"/>
        </w:rPr>
        <w:t>Kötz</w:t>
      </w:r>
      <w:proofErr w:type="spellEnd"/>
      <w:r w:rsidRPr="001B13FC">
        <w:rPr>
          <w:rFonts w:ascii="Arial" w:hAnsi="Arial" w:cs="Arial"/>
          <w:sz w:val="20"/>
          <w:szCs w:val="20"/>
        </w:rPr>
        <w:t xml:space="preserve">, </w:t>
      </w:r>
      <w:r w:rsidRPr="001B13FC">
        <w:rPr>
          <w:rFonts w:ascii="Arial" w:hAnsi="Arial" w:cs="Arial"/>
          <w:i/>
          <w:iCs/>
          <w:sz w:val="20"/>
          <w:szCs w:val="20"/>
        </w:rPr>
        <w:t xml:space="preserve">An Introduction to Comparative Law </w:t>
      </w:r>
      <w:r w:rsidRPr="001B13FC">
        <w:rPr>
          <w:rFonts w:ascii="Arial" w:hAnsi="Arial" w:cs="Arial"/>
          <w:sz w:val="20"/>
          <w:szCs w:val="20"/>
        </w:rPr>
        <w:t xml:space="preserve">(Tony Weir tr, 3rd </w:t>
      </w:r>
      <w:proofErr w:type="spellStart"/>
      <w:r w:rsidRPr="001B13FC">
        <w:rPr>
          <w:rFonts w:ascii="Arial" w:hAnsi="Arial" w:cs="Arial"/>
          <w:sz w:val="20"/>
          <w:szCs w:val="20"/>
        </w:rPr>
        <w:t>edn</w:t>
      </w:r>
      <w:proofErr w:type="spellEnd"/>
      <w:r w:rsidRPr="001B13FC">
        <w:rPr>
          <w:rFonts w:ascii="Arial" w:hAnsi="Arial" w:cs="Arial"/>
          <w:sz w:val="20"/>
          <w:szCs w:val="20"/>
        </w:rPr>
        <w:t>, OUP 1998)</w:t>
      </w:r>
    </w:p>
    <w:p w14:paraId="1E452A33"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Contributions to edited books</w:t>
      </w:r>
    </w:p>
    <w:p w14:paraId="5E70B0B4"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Francis Rose, ‘The Evolution of the Species’ in Andrew Burrows and Alan Rodger (eds), </w:t>
      </w:r>
      <w:r w:rsidRPr="001B13FC">
        <w:rPr>
          <w:rFonts w:ascii="Arial" w:hAnsi="Arial" w:cs="Arial"/>
          <w:i/>
          <w:iCs/>
          <w:sz w:val="20"/>
          <w:szCs w:val="20"/>
        </w:rPr>
        <w:t xml:space="preserve">Mapping the Law: Essays in Memory of Peter Birks </w:t>
      </w:r>
      <w:r w:rsidRPr="001B13FC">
        <w:rPr>
          <w:rFonts w:ascii="Arial" w:hAnsi="Arial" w:cs="Arial"/>
          <w:sz w:val="20"/>
          <w:szCs w:val="20"/>
        </w:rPr>
        <w:t>(OUP 2006)</w:t>
      </w:r>
    </w:p>
    <w:p w14:paraId="2437E2DA" w14:textId="77777777" w:rsidR="009A6A18" w:rsidRPr="001B13FC" w:rsidRDefault="009A6A18" w:rsidP="009A6A18">
      <w:pPr>
        <w:spacing w:after="200" w:line="276" w:lineRule="auto"/>
        <w:rPr>
          <w:rFonts w:ascii="Arial" w:hAnsi="Arial" w:cs="Arial"/>
          <w:sz w:val="20"/>
          <w:szCs w:val="20"/>
        </w:rPr>
      </w:pPr>
      <w:proofErr w:type="spellStart"/>
      <w:r w:rsidRPr="001B13FC">
        <w:rPr>
          <w:rFonts w:ascii="Arial" w:hAnsi="Arial" w:cs="Arial"/>
          <w:b/>
          <w:bCs/>
          <w:sz w:val="20"/>
          <w:szCs w:val="20"/>
        </w:rPr>
        <w:t>Encyclopedias</w:t>
      </w:r>
      <w:proofErr w:type="spellEnd"/>
    </w:p>
    <w:p w14:paraId="0F068989"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i/>
          <w:iCs/>
          <w:sz w:val="20"/>
          <w:szCs w:val="20"/>
        </w:rPr>
        <w:t xml:space="preserve">Halsbury’s Laws </w:t>
      </w:r>
      <w:r w:rsidRPr="001B13FC">
        <w:rPr>
          <w:rFonts w:ascii="Arial" w:hAnsi="Arial" w:cs="Arial"/>
          <w:sz w:val="20"/>
          <w:szCs w:val="20"/>
        </w:rPr>
        <w:t xml:space="preserve">(5th </w:t>
      </w:r>
      <w:proofErr w:type="spellStart"/>
      <w:r w:rsidRPr="001B13FC">
        <w:rPr>
          <w:rFonts w:ascii="Arial" w:hAnsi="Arial" w:cs="Arial"/>
          <w:sz w:val="20"/>
          <w:szCs w:val="20"/>
        </w:rPr>
        <w:t>edn</w:t>
      </w:r>
      <w:proofErr w:type="spellEnd"/>
      <w:r w:rsidRPr="001B13FC">
        <w:rPr>
          <w:rFonts w:ascii="Arial" w:hAnsi="Arial" w:cs="Arial"/>
          <w:sz w:val="20"/>
          <w:szCs w:val="20"/>
        </w:rPr>
        <w:t xml:space="preserve">, 2010) </w:t>
      </w:r>
      <w:proofErr w:type="spellStart"/>
      <w:r w:rsidRPr="001B13FC">
        <w:rPr>
          <w:rFonts w:ascii="Arial" w:hAnsi="Arial" w:cs="Arial"/>
          <w:sz w:val="20"/>
          <w:szCs w:val="20"/>
        </w:rPr>
        <w:t>vol</w:t>
      </w:r>
      <w:proofErr w:type="spellEnd"/>
      <w:r w:rsidRPr="001B13FC">
        <w:rPr>
          <w:rFonts w:ascii="Arial" w:hAnsi="Arial" w:cs="Arial"/>
          <w:sz w:val="20"/>
          <w:szCs w:val="20"/>
        </w:rPr>
        <w:t xml:space="preserve"> 57, para 53</w:t>
      </w:r>
    </w:p>
    <w:p w14:paraId="08D6F310"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Journal articles</w:t>
      </w:r>
    </w:p>
    <w:p w14:paraId="39375952"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Paul Craig, ‘Theory, “Pure Theory” and Values in Public Law’ [2005] PL 440</w:t>
      </w:r>
    </w:p>
    <w:p w14:paraId="1B6A7496"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When pinpointing, put a comma between the first page of the article and the page pinpoint. </w:t>
      </w:r>
    </w:p>
    <w:p w14:paraId="5E075124"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JAG Griffith, ‘The Common Law and the Political Constitution’ (2001) 117 LQR 42, 64</w:t>
      </w:r>
    </w:p>
    <w:p w14:paraId="59C0CA30"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Online journals</w:t>
      </w:r>
    </w:p>
    <w:p w14:paraId="541973CB"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Graham Greenleaf, ‘The Global Development of Free Access to Legal Information’ (2010) 1(1) EJLT &lt; http://ejlt.org//article/view/17 &gt; accessed 27 July 2010</w:t>
      </w:r>
    </w:p>
    <w:p w14:paraId="6F7C2336"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Command papers and Law Commission reports</w:t>
      </w:r>
    </w:p>
    <w:p w14:paraId="085FC11D"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Department for International Development, </w:t>
      </w:r>
      <w:r w:rsidRPr="001B13FC">
        <w:rPr>
          <w:rFonts w:ascii="Arial" w:hAnsi="Arial" w:cs="Arial"/>
          <w:i/>
          <w:iCs/>
          <w:sz w:val="20"/>
          <w:szCs w:val="20"/>
        </w:rPr>
        <w:t xml:space="preserve">Eliminating World Poverty: Building our Common Future </w:t>
      </w:r>
      <w:r w:rsidRPr="001B13FC">
        <w:rPr>
          <w:rFonts w:ascii="Arial" w:hAnsi="Arial" w:cs="Arial"/>
          <w:sz w:val="20"/>
          <w:szCs w:val="20"/>
        </w:rPr>
        <w:t xml:space="preserve">(White Paper, Cm 7656, 2009) </w:t>
      </w:r>
      <w:proofErr w:type="spellStart"/>
      <w:r w:rsidRPr="001B13FC">
        <w:rPr>
          <w:rFonts w:ascii="Arial" w:hAnsi="Arial" w:cs="Arial"/>
          <w:sz w:val="20"/>
          <w:szCs w:val="20"/>
        </w:rPr>
        <w:t>ch</w:t>
      </w:r>
      <w:proofErr w:type="spellEnd"/>
      <w:r w:rsidRPr="001B13FC">
        <w:rPr>
          <w:rFonts w:ascii="Arial" w:hAnsi="Arial" w:cs="Arial"/>
          <w:sz w:val="20"/>
          <w:szCs w:val="20"/>
        </w:rPr>
        <w:t xml:space="preserve"> 5</w:t>
      </w:r>
    </w:p>
    <w:p w14:paraId="5C8017A0"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 xml:space="preserve">Law Commission, </w:t>
      </w:r>
      <w:r w:rsidRPr="001B13FC">
        <w:rPr>
          <w:rFonts w:ascii="Arial" w:hAnsi="Arial" w:cs="Arial"/>
          <w:i/>
          <w:iCs/>
          <w:sz w:val="20"/>
          <w:szCs w:val="20"/>
        </w:rPr>
        <w:t xml:space="preserve">Reforming Bribery </w:t>
      </w:r>
      <w:r w:rsidRPr="001B13FC">
        <w:rPr>
          <w:rFonts w:ascii="Arial" w:hAnsi="Arial" w:cs="Arial"/>
          <w:sz w:val="20"/>
          <w:szCs w:val="20"/>
        </w:rPr>
        <w:t>(Law Com No 313, 2008) paras 3.12–3.17</w:t>
      </w:r>
    </w:p>
    <w:p w14:paraId="391747C4"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Websites and blogs</w:t>
      </w:r>
    </w:p>
    <w:p w14:paraId="4D290098"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sz w:val="20"/>
          <w:szCs w:val="20"/>
        </w:rPr>
        <w:t>Sarah Cole, ‘Virtual Friend Fires Employee’ (</w:t>
      </w:r>
      <w:r w:rsidRPr="001B13FC">
        <w:rPr>
          <w:rFonts w:ascii="Arial" w:hAnsi="Arial" w:cs="Arial"/>
          <w:i/>
          <w:iCs/>
          <w:sz w:val="20"/>
          <w:szCs w:val="20"/>
        </w:rPr>
        <w:t>Naked Law</w:t>
      </w:r>
      <w:r w:rsidRPr="001B13FC">
        <w:rPr>
          <w:rFonts w:ascii="Arial" w:hAnsi="Arial" w:cs="Arial"/>
          <w:sz w:val="20"/>
          <w:szCs w:val="20"/>
        </w:rPr>
        <w:t>, 1 May 2009) &lt;www.nakedlaw.com/2009/05/index.html&gt; accessed 19 November 2009</w:t>
      </w:r>
    </w:p>
    <w:p w14:paraId="3908B19E" w14:textId="77777777" w:rsidR="009A6A18" w:rsidRPr="001B13FC" w:rsidRDefault="009A6A18" w:rsidP="009A6A18">
      <w:pPr>
        <w:spacing w:after="200" w:line="276" w:lineRule="auto"/>
        <w:rPr>
          <w:rFonts w:ascii="Arial" w:hAnsi="Arial" w:cs="Arial"/>
          <w:sz w:val="20"/>
          <w:szCs w:val="20"/>
        </w:rPr>
      </w:pPr>
      <w:r w:rsidRPr="001B13FC">
        <w:rPr>
          <w:rFonts w:ascii="Arial" w:hAnsi="Arial" w:cs="Arial"/>
          <w:b/>
          <w:bCs/>
          <w:sz w:val="20"/>
          <w:szCs w:val="20"/>
        </w:rPr>
        <w:t>Newspaper articles</w:t>
      </w:r>
    </w:p>
    <w:p w14:paraId="1D92D18B" w14:textId="77777777" w:rsidR="009A6A18" w:rsidRPr="001B13FC" w:rsidRDefault="009A6A18" w:rsidP="009A6A18">
      <w:pPr>
        <w:rPr>
          <w:rFonts w:ascii="Arial" w:hAnsi="Arial" w:cs="Arial"/>
          <w:sz w:val="20"/>
          <w:szCs w:val="20"/>
        </w:rPr>
      </w:pPr>
      <w:r w:rsidRPr="001B13FC">
        <w:rPr>
          <w:rFonts w:ascii="Arial" w:hAnsi="Arial" w:cs="Arial"/>
          <w:sz w:val="20"/>
          <w:szCs w:val="20"/>
        </w:rPr>
        <w:t xml:space="preserve">Jane Croft, ‘Supreme Court Warns on Quality’ </w:t>
      </w:r>
      <w:r w:rsidRPr="001B13FC">
        <w:rPr>
          <w:rFonts w:ascii="Arial" w:hAnsi="Arial" w:cs="Arial"/>
          <w:i/>
          <w:iCs/>
          <w:sz w:val="20"/>
          <w:szCs w:val="20"/>
        </w:rPr>
        <w:t xml:space="preserve">Financial Times </w:t>
      </w:r>
      <w:r w:rsidRPr="001B13FC">
        <w:rPr>
          <w:rFonts w:ascii="Arial" w:hAnsi="Arial" w:cs="Arial"/>
          <w:sz w:val="20"/>
          <w:szCs w:val="20"/>
        </w:rPr>
        <w:t>(London, 1 July 2010) 3</w:t>
      </w:r>
    </w:p>
    <w:p w14:paraId="7B01780B" w14:textId="77777777" w:rsidR="00CB2DD7" w:rsidRDefault="00CB2DD7">
      <w:bookmarkStart w:id="0" w:name="_GoBack"/>
      <w:bookmarkEnd w:id="0"/>
    </w:p>
    <w:sectPr w:rsidR="00CB2DD7" w:rsidSect="00CB2DD7">
      <w:foot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3EE61" w14:textId="77777777" w:rsidR="007273BD" w:rsidRDefault="007273BD">
      <w:r>
        <w:separator/>
      </w:r>
    </w:p>
  </w:endnote>
  <w:endnote w:type="continuationSeparator" w:id="0">
    <w:p w14:paraId="608BEF82" w14:textId="77777777" w:rsidR="007273BD" w:rsidRDefault="0072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907144"/>
      <w:docPartObj>
        <w:docPartGallery w:val="Page Numbers (Bottom of Page)"/>
        <w:docPartUnique/>
      </w:docPartObj>
    </w:sdtPr>
    <w:sdtContent>
      <w:p w14:paraId="26752293" w14:textId="77777777" w:rsidR="00CB2DD7" w:rsidRDefault="00CB2DD7">
        <w:pPr>
          <w:pStyle w:val="Footer"/>
          <w:jc w:val="right"/>
        </w:pPr>
        <w:r>
          <w:fldChar w:fldCharType="begin"/>
        </w:r>
        <w:r>
          <w:instrText xml:space="preserve"> PAGE   \* MERGEFORMAT </w:instrText>
        </w:r>
        <w:r>
          <w:fldChar w:fldCharType="separate"/>
        </w:r>
        <w:r w:rsidR="00E7519E">
          <w:rPr>
            <w:noProof/>
          </w:rPr>
          <w:t>1</w:t>
        </w:r>
        <w:r>
          <w:rPr>
            <w:noProof/>
          </w:rPr>
          <w:fldChar w:fldCharType="end"/>
        </w:r>
      </w:p>
    </w:sdtContent>
  </w:sdt>
  <w:p w14:paraId="76BC3398" w14:textId="77777777" w:rsidR="00CB2DD7" w:rsidRDefault="00CB2D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B63D0" w14:textId="77777777" w:rsidR="007273BD" w:rsidRDefault="007273BD">
      <w:r>
        <w:separator/>
      </w:r>
    </w:p>
  </w:footnote>
  <w:footnote w:type="continuationSeparator" w:id="0">
    <w:p w14:paraId="565E36EB" w14:textId="77777777" w:rsidR="007273BD" w:rsidRDefault="007273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880"/>
    <w:multiLevelType w:val="hybridMultilevel"/>
    <w:tmpl w:val="8EC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04270"/>
    <w:multiLevelType w:val="hybridMultilevel"/>
    <w:tmpl w:val="35683370"/>
    <w:lvl w:ilvl="0" w:tplc="967CB868">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A4F27"/>
    <w:multiLevelType w:val="hybridMultilevel"/>
    <w:tmpl w:val="35683370"/>
    <w:lvl w:ilvl="0" w:tplc="967CB868">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E1BD8"/>
    <w:multiLevelType w:val="hybridMultilevel"/>
    <w:tmpl w:val="5C9082EE"/>
    <w:lvl w:ilvl="0" w:tplc="1A186C9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32A02"/>
    <w:multiLevelType w:val="hybridMultilevel"/>
    <w:tmpl w:val="ED96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1D2241"/>
    <w:multiLevelType w:val="hybridMultilevel"/>
    <w:tmpl w:val="A4F62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812918"/>
    <w:multiLevelType w:val="hybridMultilevel"/>
    <w:tmpl w:val="1812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567AC"/>
    <w:multiLevelType w:val="hybridMultilevel"/>
    <w:tmpl w:val="2D986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7F5F96"/>
    <w:multiLevelType w:val="hybridMultilevel"/>
    <w:tmpl w:val="DFA44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535AF"/>
    <w:multiLevelType w:val="hybridMultilevel"/>
    <w:tmpl w:val="977E2BE0"/>
    <w:lvl w:ilvl="0" w:tplc="9E2C93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35077"/>
    <w:multiLevelType w:val="hybridMultilevel"/>
    <w:tmpl w:val="D28CE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694A99"/>
    <w:multiLevelType w:val="hybridMultilevel"/>
    <w:tmpl w:val="7A80F8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F566DF"/>
    <w:multiLevelType w:val="hybridMultilevel"/>
    <w:tmpl w:val="ABDA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C23F3F"/>
    <w:multiLevelType w:val="hybridMultilevel"/>
    <w:tmpl w:val="4D343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3"/>
  </w:num>
  <w:num w:numId="5">
    <w:abstractNumId w:val="1"/>
  </w:num>
  <w:num w:numId="6">
    <w:abstractNumId w:val="9"/>
  </w:num>
  <w:num w:numId="7">
    <w:abstractNumId w:val="13"/>
  </w:num>
  <w:num w:numId="8">
    <w:abstractNumId w:val="12"/>
  </w:num>
  <w:num w:numId="9">
    <w:abstractNumId w:val="8"/>
  </w:num>
  <w:num w:numId="10">
    <w:abstractNumId w:val="2"/>
  </w:num>
  <w:num w:numId="11">
    <w:abstractNumId w:val="5"/>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18"/>
    <w:rsid w:val="00235A2E"/>
    <w:rsid w:val="002757E9"/>
    <w:rsid w:val="0061563A"/>
    <w:rsid w:val="007273BD"/>
    <w:rsid w:val="009A6A18"/>
    <w:rsid w:val="00A223BC"/>
    <w:rsid w:val="00CB2DD7"/>
    <w:rsid w:val="00E7519E"/>
    <w:rsid w:val="00F4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F0E5"/>
  <w15:chartTrackingRefBased/>
  <w15:docId w15:val="{09B9E521-78A1-DE46-8A95-2CFEC20E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18"/>
    <w:rPr>
      <w:rFonts w:ascii="Times New Roman" w:eastAsia="Times New Roman" w:hAnsi="Times New Roman" w:cs="Times New Roman"/>
      <w:lang w:eastAsia="en-GB"/>
    </w:rPr>
  </w:style>
  <w:style w:type="paragraph" w:styleId="Heading1">
    <w:name w:val="heading 1"/>
    <w:basedOn w:val="Normal"/>
    <w:next w:val="Normal"/>
    <w:link w:val="Heading1Char"/>
    <w:qFormat/>
    <w:rsid w:val="009A6A18"/>
    <w:pPr>
      <w:keepNext/>
      <w:jc w:val="both"/>
      <w:outlineLvl w:val="0"/>
    </w:pPr>
    <w:rPr>
      <w:b/>
      <w:sz w:val="20"/>
    </w:rPr>
  </w:style>
  <w:style w:type="paragraph" w:styleId="Heading2">
    <w:name w:val="heading 2"/>
    <w:basedOn w:val="Normal"/>
    <w:next w:val="Normal"/>
    <w:link w:val="Heading2Char"/>
    <w:qFormat/>
    <w:rsid w:val="009A6A18"/>
    <w:pPr>
      <w:keepNext/>
      <w:jc w:val="both"/>
      <w:outlineLvl w:val="1"/>
    </w:pPr>
    <w:rPr>
      <w:b/>
      <w:sz w:val="20"/>
      <w:u w:val="single"/>
    </w:rPr>
  </w:style>
  <w:style w:type="paragraph" w:styleId="Heading4">
    <w:name w:val="heading 4"/>
    <w:basedOn w:val="Normal"/>
    <w:next w:val="Normal"/>
    <w:link w:val="Heading4Char"/>
    <w:uiPriority w:val="9"/>
    <w:semiHidden/>
    <w:unhideWhenUsed/>
    <w:qFormat/>
    <w:rsid w:val="009A6A1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A18"/>
    <w:rPr>
      <w:rFonts w:ascii="Times New Roman" w:eastAsia="Times New Roman" w:hAnsi="Times New Roman" w:cs="Times New Roman"/>
      <w:b/>
      <w:sz w:val="20"/>
      <w:lang w:eastAsia="en-GB"/>
    </w:rPr>
  </w:style>
  <w:style w:type="character" w:customStyle="1" w:styleId="Heading2Char">
    <w:name w:val="Heading 2 Char"/>
    <w:basedOn w:val="DefaultParagraphFont"/>
    <w:link w:val="Heading2"/>
    <w:rsid w:val="009A6A18"/>
    <w:rPr>
      <w:rFonts w:ascii="Times New Roman" w:eastAsia="Times New Roman" w:hAnsi="Times New Roman" w:cs="Times New Roman"/>
      <w:b/>
      <w:sz w:val="20"/>
      <w:u w:val="single"/>
      <w:lang w:eastAsia="en-GB"/>
    </w:rPr>
  </w:style>
  <w:style w:type="character" w:customStyle="1" w:styleId="Heading4Char">
    <w:name w:val="Heading 4 Char"/>
    <w:basedOn w:val="DefaultParagraphFont"/>
    <w:link w:val="Heading4"/>
    <w:uiPriority w:val="9"/>
    <w:semiHidden/>
    <w:rsid w:val="009A6A18"/>
    <w:rPr>
      <w:rFonts w:eastAsiaTheme="minorEastAsia"/>
      <w:b/>
      <w:bCs/>
      <w:sz w:val="28"/>
      <w:szCs w:val="28"/>
      <w:lang w:eastAsia="en-GB"/>
    </w:rPr>
  </w:style>
  <w:style w:type="paragraph" w:styleId="Header">
    <w:name w:val="header"/>
    <w:basedOn w:val="Normal"/>
    <w:link w:val="HeaderChar"/>
    <w:uiPriority w:val="99"/>
    <w:rsid w:val="009A6A18"/>
    <w:pPr>
      <w:tabs>
        <w:tab w:val="center" w:pos="4153"/>
        <w:tab w:val="right" w:pos="8306"/>
      </w:tabs>
    </w:pPr>
    <w:rPr>
      <w:lang w:eastAsia="en-US"/>
    </w:rPr>
  </w:style>
  <w:style w:type="character" w:customStyle="1" w:styleId="HeaderChar">
    <w:name w:val="Header Char"/>
    <w:basedOn w:val="DefaultParagraphFont"/>
    <w:link w:val="Header"/>
    <w:uiPriority w:val="99"/>
    <w:rsid w:val="009A6A18"/>
    <w:rPr>
      <w:rFonts w:ascii="Times New Roman" w:eastAsia="Times New Roman" w:hAnsi="Times New Roman" w:cs="Times New Roman"/>
    </w:rPr>
  </w:style>
  <w:style w:type="paragraph" w:styleId="NormalWeb">
    <w:name w:val="Normal (Web)"/>
    <w:basedOn w:val="Normal"/>
    <w:uiPriority w:val="99"/>
    <w:semiHidden/>
    <w:unhideWhenUsed/>
    <w:rsid w:val="009A6A18"/>
    <w:pPr>
      <w:spacing w:before="100" w:beforeAutospacing="1" w:after="100" w:afterAutospacing="1"/>
    </w:pPr>
  </w:style>
  <w:style w:type="character" w:styleId="Strong">
    <w:name w:val="Strong"/>
    <w:basedOn w:val="DefaultParagraphFont"/>
    <w:uiPriority w:val="22"/>
    <w:qFormat/>
    <w:rsid w:val="009A6A18"/>
    <w:rPr>
      <w:b/>
      <w:bCs/>
    </w:rPr>
  </w:style>
  <w:style w:type="character" w:styleId="Hyperlink">
    <w:name w:val="Hyperlink"/>
    <w:basedOn w:val="DefaultParagraphFont"/>
    <w:uiPriority w:val="99"/>
    <w:unhideWhenUsed/>
    <w:rsid w:val="009A6A18"/>
    <w:rPr>
      <w:color w:val="0000FF"/>
      <w:u w:val="single"/>
    </w:rPr>
  </w:style>
  <w:style w:type="paragraph" w:styleId="ListParagraph">
    <w:name w:val="List Paragraph"/>
    <w:basedOn w:val="Normal"/>
    <w:uiPriority w:val="34"/>
    <w:qFormat/>
    <w:rsid w:val="009A6A18"/>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9A6A18"/>
    <w:rPr>
      <w:sz w:val="22"/>
      <w:szCs w:val="20"/>
      <w:lang w:eastAsia="en-US"/>
    </w:rPr>
  </w:style>
  <w:style w:type="character" w:customStyle="1" w:styleId="BodyTextChar">
    <w:name w:val="Body Text Char"/>
    <w:basedOn w:val="DefaultParagraphFont"/>
    <w:link w:val="BodyText"/>
    <w:rsid w:val="009A6A18"/>
    <w:rPr>
      <w:rFonts w:ascii="Times New Roman" w:eastAsia="Times New Roman" w:hAnsi="Times New Roman" w:cs="Times New Roman"/>
      <w:sz w:val="22"/>
      <w:szCs w:val="20"/>
    </w:rPr>
  </w:style>
  <w:style w:type="paragraph" w:styleId="TOCHeading">
    <w:name w:val="TOC Heading"/>
    <w:basedOn w:val="Heading1"/>
    <w:next w:val="Normal"/>
    <w:uiPriority w:val="39"/>
    <w:unhideWhenUsed/>
    <w:qFormat/>
    <w:rsid w:val="009A6A18"/>
    <w:pPr>
      <w:keepLines/>
      <w:spacing w:before="480" w:line="276" w:lineRule="auto"/>
      <w:jc w:val="left"/>
      <w:outlineLvl w:val="9"/>
    </w:pPr>
    <w:rPr>
      <w:rFonts w:ascii="Cambria" w:hAnsi="Cambria"/>
      <w:bCs/>
      <w:color w:val="365F91"/>
      <w:sz w:val="28"/>
      <w:szCs w:val="28"/>
      <w:lang w:val="en-US" w:eastAsia="en-US"/>
    </w:rPr>
  </w:style>
  <w:style w:type="paragraph" w:styleId="TOC2">
    <w:name w:val="toc 2"/>
    <w:basedOn w:val="Normal"/>
    <w:next w:val="Normal"/>
    <w:autoRedefine/>
    <w:uiPriority w:val="39"/>
    <w:unhideWhenUsed/>
    <w:qFormat/>
    <w:rsid w:val="009A6A18"/>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9A6A18"/>
    <w:pPr>
      <w:spacing w:after="100" w:line="276" w:lineRule="auto"/>
    </w:pPr>
    <w:rPr>
      <w:rFonts w:ascii="Calibri" w:hAnsi="Calibri"/>
      <w:sz w:val="22"/>
      <w:szCs w:val="22"/>
      <w:lang w:val="en-US" w:eastAsia="en-US"/>
    </w:rPr>
  </w:style>
  <w:style w:type="paragraph" w:styleId="Footer">
    <w:name w:val="footer"/>
    <w:basedOn w:val="Normal"/>
    <w:link w:val="FooterChar"/>
    <w:uiPriority w:val="99"/>
    <w:unhideWhenUsed/>
    <w:rsid w:val="009A6A18"/>
    <w:pPr>
      <w:tabs>
        <w:tab w:val="center" w:pos="4513"/>
        <w:tab w:val="right" w:pos="9026"/>
      </w:tabs>
    </w:pPr>
  </w:style>
  <w:style w:type="character" w:customStyle="1" w:styleId="FooterChar">
    <w:name w:val="Footer Char"/>
    <w:basedOn w:val="DefaultParagraphFont"/>
    <w:link w:val="Footer"/>
    <w:uiPriority w:val="99"/>
    <w:rsid w:val="009A6A18"/>
    <w:rPr>
      <w:rFonts w:ascii="Times New Roman" w:eastAsia="Times New Roman" w:hAnsi="Times New Roman" w:cs="Times New Roman"/>
      <w:lang w:eastAsia="en-GB"/>
    </w:rPr>
  </w:style>
  <w:style w:type="table" w:styleId="TableGrid">
    <w:name w:val="Table Grid"/>
    <w:basedOn w:val="TableNormal"/>
    <w:uiPriority w:val="59"/>
    <w:rsid w:val="009A6A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6A18"/>
    <w:rPr>
      <w:sz w:val="20"/>
      <w:szCs w:val="20"/>
    </w:rPr>
  </w:style>
  <w:style w:type="character" w:customStyle="1" w:styleId="FootnoteTextChar">
    <w:name w:val="Footnote Text Char"/>
    <w:basedOn w:val="DefaultParagraphFont"/>
    <w:link w:val="FootnoteText"/>
    <w:uiPriority w:val="99"/>
    <w:semiHidden/>
    <w:rsid w:val="009A6A1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A6A18"/>
    <w:rPr>
      <w:vertAlign w:val="superscript"/>
    </w:rPr>
  </w:style>
  <w:style w:type="paragraph" w:styleId="BalloonText">
    <w:name w:val="Balloon Text"/>
    <w:basedOn w:val="Normal"/>
    <w:link w:val="BalloonTextChar"/>
    <w:uiPriority w:val="99"/>
    <w:semiHidden/>
    <w:unhideWhenUsed/>
    <w:rsid w:val="009A6A18"/>
    <w:rPr>
      <w:rFonts w:ascii="Tahoma" w:hAnsi="Tahoma" w:cs="Tahoma"/>
      <w:sz w:val="16"/>
      <w:szCs w:val="16"/>
    </w:rPr>
  </w:style>
  <w:style w:type="character" w:customStyle="1" w:styleId="BalloonTextChar">
    <w:name w:val="Balloon Text Char"/>
    <w:basedOn w:val="DefaultParagraphFont"/>
    <w:link w:val="BalloonText"/>
    <w:uiPriority w:val="99"/>
    <w:semiHidden/>
    <w:rsid w:val="009A6A18"/>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9A6A18"/>
    <w:rPr>
      <w:color w:val="954F72" w:themeColor="followedHyperlink"/>
      <w:u w:val="single"/>
    </w:rPr>
  </w:style>
  <w:style w:type="character" w:customStyle="1" w:styleId="UnresolvedMention1">
    <w:name w:val="Unresolved Mention1"/>
    <w:basedOn w:val="DefaultParagraphFont"/>
    <w:uiPriority w:val="99"/>
    <w:semiHidden/>
    <w:unhideWhenUsed/>
    <w:rsid w:val="009A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1007</Words>
  <Characters>5746</Characters>
  <Application>Microsoft Macintosh Word</Application>
  <DocSecurity>0</DocSecurity>
  <Lines>47</Lines>
  <Paragraphs>13</Paragraphs>
  <ScaleCrop>false</ScaleCrop>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 Alansari</cp:lastModifiedBy>
  <cp:revision>2</cp:revision>
  <dcterms:created xsi:type="dcterms:W3CDTF">2020-04-18T09:22:00Z</dcterms:created>
  <dcterms:modified xsi:type="dcterms:W3CDTF">2020-04-18T09:22:00Z</dcterms:modified>
</cp:coreProperties>
</file>