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18E" w:rsidRPr="0050618E" w:rsidRDefault="0050618E" w:rsidP="0050618E">
      <w:r w:rsidRPr="0050618E">
        <w:t>How public opinions are generated and formed and the role of media in the process. Individual and company experience can be used. Examples, Formation of a political leader, the formation of opinion in a public services organization etc. The goal is to understand the pattern of forming opinions and the media role in a diverse society.  </w:t>
      </w:r>
    </w:p>
    <w:p w:rsidR="0092788F" w:rsidRDefault="0092788F">
      <w:bookmarkStart w:id="0" w:name="_GoBack"/>
      <w:bookmarkEnd w:id="0"/>
    </w:p>
    <w:sectPr w:rsidR="00927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8E"/>
    <w:rsid w:val="0050618E"/>
    <w:rsid w:val="0092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3D7C0-6A71-444D-895B-08DAC8E3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2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Mwas</dc:creator>
  <cp:keywords/>
  <dc:description/>
  <cp:lastModifiedBy>Mwas</cp:lastModifiedBy>
  <cp:revision>1</cp:revision>
  <dcterms:created xsi:type="dcterms:W3CDTF">2020-03-16T05:12:00Z</dcterms:created>
  <dcterms:modified xsi:type="dcterms:W3CDTF">2020-03-16T05:12:00Z</dcterms:modified>
</cp:coreProperties>
</file>