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480"/>
        <w:jc w:val="center"/>
        <w:rPr>
          <w:szCs w:val="24"/>
        </w:rPr>
      </w:pPr>
      <w:r>
        <w:rPr>
          <w:szCs w:val="24"/>
        </w:rPr>
      </w:r>
    </w:p>
    <w:p>
      <w:pPr>
        <w:pStyle w:val="Normal"/>
        <w:spacing w:lineRule="auto" w:line="480"/>
        <w:jc w:val="center"/>
        <w:rPr>
          <w:szCs w:val="24"/>
        </w:rPr>
      </w:pPr>
      <w:r>
        <w:rPr>
          <w:szCs w:val="24"/>
        </w:rPr>
      </w:r>
    </w:p>
    <w:p>
      <w:pPr>
        <w:pStyle w:val="Normal"/>
        <w:spacing w:lineRule="auto" w:line="480"/>
        <w:rPr>
          <w:szCs w:val="24"/>
        </w:rPr>
      </w:pPr>
      <w:r>
        <w:rPr>
          <w:szCs w:val="24"/>
        </w:rPr>
      </w:r>
    </w:p>
    <w:p>
      <w:pPr>
        <w:pStyle w:val="Normal"/>
        <w:spacing w:lineRule="auto" w:line="480"/>
        <w:jc w:val="center"/>
        <w:rPr>
          <w:szCs w:val="24"/>
        </w:rPr>
      </w:pPr>
      <w:r>
        <w:rPr>
          <w:szCs w:val="24"/>
        </w:rPr>
      </w:r>
    </w:p>
    <w:p>
      <w:pPr>
        <w:pStyle w:val="Normal"/>
        <w:spacing w:lineRule="auto" w:line="480"/>
        <w:jc w:val="center"/>
        <w:rPr>
          <w:szCs w:val="24"/>
        </w:rPr>
      </w:pPr>
      <w:r>
        <w:rPr>
          <w:szCs w:val="24"/>
        </w:rPr>
      </w:r>
    </w:p>
    <w:p>
      <w:pPr>
        <w:pStyle w:val="Normal"/>
        <w:spacing w:lineRule="auto" w:line="480"/>
        <w:jc w:val="center"/>
        <w:rPr>
          <w:szCs w:val="24"/>
        </w:rPr>
      </w:pPr>
      <w:r>
        <w:rPr>
          <w:szCs w:val="24"/>
        </w:rPr>
        <w:t>Comprehensive Total Rewards Plan</w:t>
      </w:r>
    </w:p>
    <w:p>
      <w:pPr>
        <w:pStyle w:val="Normal"/>
        <w:spacing w:lineRule="auto" w:line="480"/>
        <w:ind w:left="2880" w:firstLine="720"/>
        <w:rPr/>
      </w:pPr>
      <w:r>
        <w:rPr>
          <w:szCs w:val="24"/>
        </w:rPr>
        <w:t xml:space="preserve"> </w:t>
      </w:r>
    </w:p>
    <w:p>
      <w:pPr>
        <w:pStyle w:val="Normal"/>
        <w:spacing w:lineRule="auto" w:line="480"/>
        <w:jc w:val="center"/>
        <w:rPr>
          <w:szCs w:val="24"/>
        </w:rPr>
      </w:pPr>
      <w:r>
        <w:rPr>
          <w:szCs w:val="24"/>
        </w:rPr>
        <w:t xml:space="preserve">HRM350 – Compensation and Performance Management </w:t>
      </w:r>
    </w:p>
    <w:p>
      <w:pPr>
        <w:pStyle w:val="Normal"/>
        <w:spacing w:lineRule="auto" w:line="480"/>
        <w:jc w:val="center"/>
        <w:rPr>
          <w:szCs w:val="24"/>
        </w:rPr>
      </w:pPr>
      <w:r>
        <w:rPr/>
      </w:r>
    </w:p>
    <w:p>
      <w:pPr>
        <w:pStyle w:val="Normal"/>
        <w:spacing w:lineRule="auto" w:line="480"/>
        <w:jc w:val="center"/>
        <w:rPr>
          <w:szCs w:val="24"/>
        </w:rPr>
      </w:pPr>
      <w:r>
        <w:rPr>
          <w:szCs w:val="24"/>
        </w:rPr>
        <w:t xml:space="preserve"> </w:t>
      </w:r>
    </w:p>
    <w:p>
      <w:pPr>
        <w:pStyle w:val="Normal"/>
        <w:spacing w:lineRule="auto" w:line="480"/>
        <w:jc w:val="center"/>
        <w:rPr>
          <w:szCs w:val="24"/>
        </w:rPr>
      </w:pPr>
      <w:r>
        <w:rPr>
          <w:szCs w:val="24"/>
        </w:rPr>
        <w:t>October 8, 2019</w:t>
      </w:r>
    </w:p>
    <w:p>
      <w:pPr>
        <w:pStyle w:val="Normal"/>
        <w:spacing w:lineRule="auto" w:line="480"/>
        <w:rPr>
          <w:szCs w:val="24"/>
        </w:rPr>
      </w:pPr>
      <w:r>
        <w:rPr>
          <w:szCs w:val="24"/>
        </w:rPr>
      </w:r>
    </w:p>
    <w:p>
      <w:pPr>
        <w:pStyle w:val="Normal"/>
        <w:spacing w:lineRule="auto" w:line="480"/>
        <w:jc w:val="center"/>
        <w:rPr>
          <w:szCs w:val="24"/>
        </w:rPr>
      </w:pPr>
      <w:r>
        <w:rPr>
          <w:szCs w:val="24"/>
        </w:rPr>
      </w:r>
    </w:p>
    <w:p>
      <w:pPr>
        <w:pStyle w:val="Normal"/>
        <w:spacing w:lineRule="auto" w:line="480"/>
        <w:jc w:val="center"/>
        <w:rPr>
          <w:szCs w:val="24"/>
        </w:rPr>
      </w:pPr>
      <w:r>
        <w:rPr>
          <w:szCs w:val="24"/>
        </w:rPr>
      </w:r>
    </w:p>
    <w:p>
      <w:pPr>
        <w:pStyle w:val="Normal"/>
        <w:spacing w:lineRule="auto" w:line="480"/>
        <w:jc w:val="center"/>
        <w:rPr>
          <w:szCs w:val="24"/>
        </w:rPr>
      </w:pPr>
      <w:r>
        <w:rPr>
          <w:szCs w:val="24"/>
        </w:rPr>
      </w:r>
    </w:p>
    <w:p>
      <w:pPr>
        <w:pStyle w:val="Normal"/>
        <w:spacing w:lineRule="auto" w:line="480"/>
        <w:jc w:val="center"/>
        <w:rPr>
          <w:szCs w:val="24"/>
        </w:rPr>
      </w:pPr>
      <w:r>
        <w:rPr>
          <w:szCs w:val="24"/>
        </w:rPr>
      </w:r>
    </w:p>
    <w:p>
      <w:pPr>
        <w:pStyle w:val="Normal"/>
        <w:spacing w:lineRule="auto" w:line="480"/>
        <w:jc w:val="center"/>
        <w:rPr>
          <w:szCs w:val="24"/>
        </w:rPr>
      </w:pPr>
      <w:r>
        <w:rPr>
          <w:szCs w:val="24"/>
        </w:rPr>
      </w:r>
    </w:p>
    <w:p>
      <w:pPr>
        <w:pStyle w:val="Normal"/>
        <w:spacing w:lineRule="auto" w:line="480"/>
        <w:jc w:val="center"/>
        <w:rPr>
          <w:szCs w:val="24"/>
        </w:rPr>
      </w:pPr>
      <w:r>
        <w:rPr>
          <w:szCs w:val="24"/>
        </w:rPr>
        <w:t>Comprehensive Total Rewards Plan</w:t>
      </w:r>
    </w:p>
    <w:p>
      <w:pPr>
        <w:pStyle w:val="Normal"/>
        <w:spacing w:lineRule="auto" w:line="480"/>
        <w:ind w:firstLine="720"/>
        <w:rPr>
          <w:szCs w:val="24"/>
        </w:rPr>
      </w:pPr>
      <w:r>
        <w:rPr>
          <w:szCs w:val="24"/>
        </w:rPr>
        <w:t>The performance of an organization rests on its ability to attract and retain top talent within any industry. Given the excellent reputation of the restaurant that Caleb runs, the sustainability of operation solely relies on the retention of a workforce that is committed to maintaining and improving the current performance standards. The recruitment and selection processes, remuneration, and motivation techniques must all align with an effective total rewards plan. The restaurant should adopt a total rewards plan that considers all aspects of talent attraction and retention, such as remuneration and benefits, work/life balance, human resource recognition, and constant professional growth and development. This comprehensive total rewards plan covers the most vital aspects of talent acquisition and retention, such as goals, objectives, recruitment and selection, employee motivation, performance appraisals, and evaluation plans.</w:t>
      </w:r>
      <w:bookmarkStart w:id="0" w:name="_GoBack"/>
      <w:bookmarkEnd w:id="0"/>
    </w:p>
    <w:p>
      <w:pPr>
        <w:pStyle w:val="Normal"/>
        <w:spacing w:lineRule="auto" w:line="480"/>
        <w:jc w:val="both"/>
        <w:rPr>
          <w:b/>
          <w:b/>
          <w:bCs/>
          <w:szCs w:val="24"/>
        </w:rPr>
      </w:pPr>
      <w:r>
        <w:rPr>
          <w:b/>
          <w:bCs/>
          <w:szCs w:val="24"/>
        </w:rPr>
        <w:t>Outline</w:t>
      </w:r>
    </w:p>
    <w:p>
      <w:pPr>
        <w:pStyle w:val="Normal"/>
        <w:spacing w:lineRule="auto" w:line="480"/>
        <w:rPr>
          <w:b/>
          <w:b/>
          <w:szCs w:val="24"/>
        </w:rPr>
      </w:pPr>
      <w:r>
        <w:rPr>
          <w:b/>
          <w:szCs w:val="24"/>
        </w:rPr>
        <w:t>I. Goal and Objectives of the Total Rewards Plan</w:t>
      </w:r>
    </w:p>
    <w:p>
      <w:pPr>
        <w:pStyle w:val="Normal"/>
        <w:spacing w:lineRule="auto" w:line="480"/>
        <w:ind w:firstLine="720"/>
        <w:rPr>
          <w:szCs w:val="24"/>
        </w:rPr>
      </w:pPr>
      <w:r>
        <w:rPr>
          <w:szCs w:val="24"/>
        </w:rPr>
        <w:t>The purpose of the total rewards plan is to maintain and improve the performance of the restaurant through the attraction and retention of the top talent in the industry. The goal and objectives proposed will execute the result.</w:t>
      </w:r>
    </w:p>
    <w:p>
      <w:pPr>
        <w:pStyle w:val="Normal"/>
        <w:spacing w:lineRule="auto" w:line="480"/>
        <w:rPr>
          <w:b/>
          <w:b/>
          <w:szCs w:val="24"/>
        </w:rPr>
      </w:pPr>
      <w:r>
        <w:rPr>
          <w:b/>
          <w:szCs w:val="24"/>
        </w:rPr>
        <w:t>II. Recruitment and Selection Strategy</w:t>
      </w:r>
    </w:p>
    <w:p>
      <w:pPr>
        <w:pStyle w:val="Normal"/>
        <w:spacing w:lineRule="auto" w:line="480"/>
        <w:ind w:firstLine="360"/>
        <w:rPr>
          <w:szCs w:val="24"/>
        </w:rPr>
      </w:pPr>
      <w:r>
        <w:rPr>
          <w:szCs w:val="24"/>
        </w:rPr>
        <w:t>The recruitment and retention of top talent to the restaurant will concentrate on the primary goal and objectives of the plan. The recruitment and selection strategy will focus on the following concepts.</w:t>
      </w:r>
    </w:p>
    <w:p>
      <w:pPr>
        <w:pStyle w:val="ListParagraph"/>
        <w:numPr>
          <w:ilvl w:val="0"/>
          <w:numId w:val="4"/>
        </w:numPr>
        <w:spacing w:lineRule="auto" w:line="480"/>
        <w:rPr>
          <w:szCs w:val="24"/>
        </w:rPr>
      </w:pPr>
      <w:r>
        <w:rPr>
          <w:szCs w:val="24"/>
        </w:rPr>
        <w:t>Job Description</w:t>
      </w:r>
    </w:p>
    <w:p>
      <w:pPr>
        <w:pStyle w:val="ListParagraph"/>
        <w:numPr>
          <w:ilvl w:val="0"/>
          <w:numId w:val="4"/>
        </w:numPr>
        <w:spacing w:lineRule="auto" w:line="480"/>
        <w:rPr>
          <w:szCs w:val="24"/>
        </w:rPr>
      </w:pPr>
      <w:r>
        <w:rPr>
          <w:szCs w:val="24"/>
        </w:rPr>
        <w:t>Job Matching</w:t>
      </w:r>
    </w:p>
    <w:p>
      <w:pPr>
        <w:pStyle w:val="ListParagraph"/>
        <w:numPr>
          <w:ilvl w:val="0"/>
          <w:numId w:val="4"/>
        </w:numPr>
        <w:spacing w:lineRule="auto" w:line="480"/>
        <w:rPr>
          <w:szCs w:val="24"/>
        </w:rPr>
      </w:pPr>
      <w:r>
        <w:rPr>
          <w:szCs w:val="24"/>
        </w:rPr>
        <w:t xml:space="preserve">Employee Orientation </w:t>
      </w:r>
    </w:p>
    <w:p>
      <w:pPr>
        <w:pStyle w:val="Normal"/>
        <w:spacing w:lineRule="auto" w:line="480"/>
        <w:rPr>
          <w:b/>
          <w:b/>
          <w:szCs w:val="24"/>
        </w:rPr>
      </w:pPr>
      <w:r>
        <w:rPr>
          <w:b/>
          <w:szCs w:val="24"/>
        </w:rPr>
        <w:t>III. Employee Motivation</w:t>
      </w:r>
    </w:p>
    <w:p>
      <w:pPr>
        <w:pStyle w:val="Normal"/>
        <w:spacing w:lineRule="auto" w:line="480"/>
        <w:ind w:firstLine="360"/>
        <w:rPr>
          <w:szCs w:val="24"/>
        </w:rPr>
      </w:pPr>
      <w:r>
        <w:rPr>
          <w:szCs w:val="24"/>
        </w:rPr>
        <w:t>The motivation of the employees directs on several initiatives that will be developed by Human Resource Management. The core elements of the motivation plan compromise of:</w:t>
      </w:r>
    </w:p>
    <w:p>
      <w:pPr>
        <w:pStyle w:val="ListParagraph"/>
        <w:numPr>
          <w:ilvl w:val="0"/>
          <w:numId w:val="3"/>
        </w:numPr>
        <w:spacing w:lineRule="auto" w:line="480"/>
        <w:rPr>
          <w:szCs w:val="24"/>
        </w:rPr>
      </w:pPr>
      <w:r>
        <w:rPr>
          <w:szCs w:val="24"/>
        </w:rPr>
        <w:t>Financial Benefits</w:t>
      </w:r>
    </w:p>
    <w:p>
      <w:pPr>
        <w:pStyle w:val="ListParagraph"/>
        <w:numPr>
          <w:ilvl w:val="0"/>
          <w:numId w:val="3"/>
        </w:numPr>
        <w:spacing w:lineRule="auto" w:line="480"/>
        <w:rPr>
          <w:szCs w:val="24"/>
        </w:rPr>
      </w:pPr>
      <w:r>
        <w:rPr>
          <w:szCs w:val="24"/>
        </w:rPr>
        <w:t>Effective Work/Life Balance and Wellness</w:t>
      </w:r>
    </w:p>
    <w:p>
      <w:pPr>
        <w:pStyle w:val="ListParagraph"/>
        <w:numPr>
          <w:ilvl w:val="0"/>
          <w:numId w:val="3"/>
        </w:numPr>
        <w:spacing w:lineRule="auto" w:line="480"/>
        <w:rPr>
          <w:szCs w:val="24"/>
        </w:rPr>
      </w:pPr>
      <w:r>
        <w:rPr>
          <w:szCs w:val="24"/>
        </w:rPr>
        <w:t>Non-Financial Benefits</w:t>
      </w:r>
    </w:p>
    <w:p>
      <w:pPr>
        <w:pStyle w:val="ListParagraph"/>
        <w:numPr>
          <w:ilvl w:val="1"/>
          <w:numId w:val="3"/>
        </w:numPr>
        <w:spacing w:lineRule="auto" w:line="480"/>
        <w:rPr>
          <w:szCs w:val="24"/>
        </w:rPr>
      </w:pPr>
      <w:r>
        <w:rPr>
          <w:szCs w:val="24"/>
        </w:rPr>
        <w:t>Career Development Programs</w:t>
      </w:r>
    </w:p>
    <w:p>
      <w:pPr>
        <w:pStyle w:val="ListParagraph"/>
        <w:numPr>
          <w:ilvl w:val="1"/>
          <w:numId w:val="3"/>
        </w:numPr>
        <w:spacing w:lineRule="auto" w:line="480"/>
        <w:rPr>
          <w:szCs w:val="24"/>
        </w:rPr>
      </w:pPr>
      <w:r>
        <w:rPr>
          <w:szCs w:val="24"/>
        </w:rPr>
        <w:t>Employee Engagement</w:t>
      </w:r>
    </w:p>
    <w:p>
      <w:pPr>
        <w:pStyle w:val="ListParagraph"/>
        <w:numPr>
          <w:ilvl w:val="1"/>
          <w:numId w:val="3"/>
        </w:numPr>
        <w:spacing w:lineRule="auto" w:line="480"/>
        <w:rPr>
          <w:szCs w:val="24"/>
        </w:rPr>
      </w:pPr>
      <w:r>
        <w:rPr>
          <w:szCs w:val="24"/>
        </w:rPr>
        <w:t>Performance and Service Recognition</w:t>
      </w:r>
    </w:p>
    <w:p>
      <w:pPr>
        <w:pStyle w:val="Normal"/>
        <w:spacing w:lineRule="auto" w:line="480"/>
        <w:rPr>
          <w:b/>
          <w:b/>
          <w:szCs w:val="24"/>
        </w:rPr>
      </w:pPr>
      <w:r>
        <w:rPr>
          <w:b/>
          <w:szCs w:val="24"/>
        </w:rPr>
        <w:t>IV.  Performance Appraisals</w:t>
      </w:r>
    </w:p>
    <w:p>
      <w:pPr>
        <w:pStyle w:val="Normal"/>
        <w:spacing w:lineRule="auto" w:line="480"/>
        <w:ind w:firstLine="360"/>
        <w:rPr>
          <w:szCs w:val="24"/>
        </w:rPr>
      </w:pPr>
      <w:r>
        <w:rPr>
          <w:szCs w:val="24"/>
        </w:rPr>
        <w:t xml:space="preserve"> </w:t>
      </w:r>
      <w:r>
        <w:rPr>
          <w:szCs w:val="24"/>
        </w:rPr>
        <w:t>Employee performance levels will be assessed to develop through a comprehensive appraisal that aligns with the goal and objectives of the total rewards plan. The appraisal techniques that will be used to determine the performance of the employees periodically include:</w:t>
      </w:r>
    </w:p>
    <w:p>
      <w:pPr>
        <w:pStyle w:val="ListParagraph"/>
        <w:numPr>
          <w:ilvl w:val="0"/>
          <w:numId w:val="1"/>
        </w:numPr>
        <w:spacing w:lineRule="auto" w:line="480"/>
        <w:rPr>
          <w:szCs w:val="24"/>
        </w:rPr>
      </w:pPr>
      <w:r>
        <w:rPr>
          <w:szCs w:val="24"/>
        </w:rPr>
        <w:t>General Appraisals</w:t>
      </w:r>
    </w:p>
    <w:p>
      <w:pPr>
        <w:pStyle w:val="ListParagraph"/>
        <w:numPr>
          <w:ilvl w:val="0"/>
          <w:numId w:val="1"/>
        </w:numPr>
        <w:spacing w:lineRule="auto" w:line="480"/>
        <w:rPr>
          <w:szCs w:val="24"/>
        </w:rPr>
      </w:pPr>
      <w:r>
        <w:rPr>
          <w:szCs w:val="24"/>
        </w:rPr>
        <w:t>Employee Self-Assessment</w:t>
      </w:r>
    </w:p>
    <w:p>
      <w:pPr>
        <w:pStyle w:val="ListParagraph"/>
        <w:numPr>
          <w:ilvl w:val="0"/>
          <w:numId w:val="1"/>
        </w:numPr>
        <w:spacing w:lineRule="auto" w:line="480"/>
        <w:rPr>
          <w:szCs w:val="24"/>
        </w:rPr>
      </w:pPr>
      <w:r>
        <w:rPr>
          <w:szCs w:val="24"/>
        </w:rPr>
        <w:t>Sales Performance Appraisal</w:t>
      </w:r>
    </w:p>
    <w:p>
      <w:pPr>
        <w:pStyle w:val="Normal"/>
        <w:spacing w:lineRule="auto" w:line="480"/>
        <w:rPr>
          <w:b/>
          <w:b/>
          <w:szCs w:val="24"/>
        </w:rPr>
      </w:pPr>
      <w:r>
        <w:rPr>
          <w:b/>
          <w:szCs w:val="24"/>
        </w:rPr>
        <w:t>V. Monitoring and Evaluation of the Total Rewards Plan</w:t>
      </w:r>
    </w:p>
    <w:p>
      <w:pPr>
        <w:pStyle w:val="Normal"/>
        <w:spacing w:lineRule="auto" w:line="480"/>
        <w:ind w:firstLine="720"/>
        <w:rPr>
          <w:szCs w:val="24"/>
        </w:rPr>
      </w:pPr>
      <w:r>
        <w:rPr>
          <w:szCs w:val="24"/>
        </w:rPr>
        <w:t>The effectiveness of the total rewards plan will be assessed to implement a monitoring and evaluation plan. The monitoring and evaluation process will focus on performance indicators, such as:</w:t>
      </w:r>
    </w:p>
    <w:p>
      <w:pPr>
        <w:pStyle w:val="ListParagraph"/>
        <w:numPr>
          <w:ilvl w:val="0"/>
          <w:numId w:val="2"/>
        </w:numPr>
        <w:spacing w:lineRule="auto" w:line="480"/>
        <w:rPr>
          <w:szCs w:val="24"/>
        </w:rPr>
      </w:pPr>
      <w:r>
        <w:rPr>
          <w:szCs w:val="24"/>
        </w:rPr>
        <w:t>Employee job satisfaction</w:t>
      </w:r>
    </w:p>
    <w:p>
      <w:pPr>
        <w:pStyle w:val="ListParagraph"/>
        <w:numPr>
          <w:ilvl w:val="0"/>
          <w:numId w:val="2"/>
        </w:numPr>
        <w:spacing w:lineRule="auto" w:line="480"/>
        <w:rPr>
          <w:szCs w:val="24"/>
        </w:rPr>
      </w:pPr>
      <w:r>
        <w:rPr>
          <w:szCs w:val="24"/>
        </w:rPr>
        <w:t>Customer service satisfaction</w:t>
      </w:r>
    </w:p>
    <w:p>
      <w:pPr>
        <w:pStyle w:val="ListParagraph"/>
        <w:numPr>
          <w:ilvl w:val="0"/>
          <w:numId w:val="2"/>
        </w:numPr>
        <w:spacing w:lineRule="auto" w:line="480"/>
        <w:rPr>
          <w:szCs w:val="24"/>
        </w:rPr>
      </w:pPr>
      <w:r>
        <w:rPr>
          <w:szCs w:val="24"/>
        </w:rPr>
        <w:t>Organizational growth and development</w:t>
      </w:r>
    </w:p>
    <w:p>
      <w:pPr>
        <w:pStyle w:val="ListParagraph"/>
        <w:numPr>
          <w:ilvl w:val="0"/>
          <w:numId w:val="2"/>
        </w:numPr>
        <w:spacing w:lineRule="auto" w:line="480"/>
        <w:rPr>
          <w:szCs w:val="24"/>
        </w:rPr>
      </w:pPr>
      <w:r>
        <w:rPr>
          <w:szCs w:val="24"/>
        </w:rPr>
        <w:t>Creativity and Innovation</w:t>
      </w:r>
    </w:p>
    <w:p>
      <w:pPr>
        <w:pStyle w:val="Normal"/>
        <w:spacing w:lineRule="auto" w:line="480"/>
        <w:jc w:val="center"/>
        <w:rPr>
          <w:szCs w:val="24"/>
        </w:rPr>
      </w:pPr>
      <w:r>
        <w:rPr>
          <w:szCs w:val="24"/>
        </w:rPr>
        <w:t>References</w:t>
      </w:r>
    </w:p>
    <w:p>
      <w:pPr>
        <w:pStyle w:val="Normal"/>
        <w:spacing w:lineRule="auto" w:line="480"/>
        <w:ind w:left="720" w:hanging="720"/>
        <w:rPr>
          <w:szCs w:val="24"/>
        </w:rPr>
      </w:pPr>
      <w:r>
        <w:rPr>
          <w:szCs w:val="24"/>
        </w:rPr>
        <w:t xml:space="preserve">Armstrong, M. (2016). </w:t>
      </w:r>
      <w:r>
        <w:rPr>
          <w:i/>
          <w:iCs/>
          <w:szCs w:val="24"/>
        </w:rPr>
        <w:t>Armstrong’s Handbook of Management and Leadership for HR: Developing Effective People Skills for Better Leadership and Management</w:t>
      </w:r>
      <w:r>
        <w:rPr>
          <w:szCs w:val="24"/>
        </w:rPr>
        <w:t xml:space="preserve"> (Vol. Fourth edition). Philadelphia, PA: Kogan Page. Retrieved from http://search.ebscohost.com.csuglobal.idm.oclc.org/login.aspx?direct=true&amp;db=nlebk&amp;AN=1406071&amp;site=ehost-live</w:t>
      </w:r>
    </w:p>
    <w:p>
      <w:pPr>
        <w:pStyle w:val="Normal"/>
        <w:spacing w:lineRule="auto" w:line="480"/>
        <w:ind w:left="720" w:hanging="720"/>
        <w:rPr>
          <w:szCs w:val="24"/>
        </w:rPr>
      </w:pPr>
      <w:r>
        <w:rPr>
          <w:szCs w:val="24"/>
        </w:rPr>
        <w:t xml:space="preserve">50MINUTES.COM. (2017). </w:t>
      </w:r>
      <w:r>
        <w:rPr>
          <w:i/>
          <w:iCs/>
          <w:szCs w:val="24"/>
        </w:rPr>
        <w:t>How to Make the Most of Your Performance Appraisal: Adopt a Winning Attitude and Reap the Benefits</w:t>
      </w:r>
      <w:r>
        <w:rPr>
          <w:szCs w:val="24"/>
        </w:rPr>
        <w:t>. Cork: 50Minutes.com. Retrieved from http://search.ebscohost.com.csuglobal.idm.oclc.org/login.aspx?direct=true&amp;db=nlebk&amp;AN=1642320&amp;site=ehost-live</w:t>
      </w:r>
    </w:p>
    <w:p>
      <w:pPr>
        <w:pStyle w:val="Normal"/>
        <w:spacing w:lineRule="auto" w:line="480"/>
        <w:ind w:left="720" w:hanging="720"/>
        <w:rPr>
          <w:szCs w:val="24"/>
        </w:rPr>
      </w:pPr>
      <w:r>
        <w:rPr>
          <w:szCs w:val="24"/>
        </w:rPr>
        <w:t xml:space="preserve">Fisher, J. G. (2015). </w:t>
      </w:r>
      <w:r>
        <w:rPr>
          <w:i/>
          <w:iCs/>
          <w:szCs w:val="24"/>
        </w:rPr>
        <w:t>Strategic Reward and Recognition: Improving Employee Performance Through Non-Monetary Incentives</w:t>
      </w:r>
      <w:r>
        <w:rPr>
          <w:szCs w:val="24"/>
        </w:rPr>
        <w:t>. Philadelphia: Kogan Page. Retrieved from http://search.ebscohost.com.csuglobal.idm.oclc.org/login.aspx?direct=true&amp;db=nlebk&amp;AN=1000090&amp;site=ehost-live</w:t>
      </w:r>
    </w:p>
    <w:p>
      <w:pPr>
        <w:pStyle w:val="Normal"/>
        <w:spacing w:lineRule="auto" w:line="480"/>
        <w:ind w:left="720" w:hanging="720"/>
        <w:rPr>
          <w:szCs w:val="24"/>
        </w:rPr>
      </w:pPr>
      <w:r>
        <w:rPr>
          <w:szCs w:val="24"/>
        </w:rPr>
        <w:t>Sizemore, K. L. (2018). 6 considerations for designing a total rewards program.</w:t>
      </w:r>
      <w:r>
        <w:rPr>
          <w:i/>
          <w:iCs/>
          <w:szCs w:val="24"/>
        </w:rPr>
        <w:t xml:space="preserve"> Benefits Magazine, 55</w:t>
      </w:r>
      <w:r>
        <w:rPr>
          <w:szCs w:val="24"/>
        </w:rPr>
        <w:t>(9), 36-42. Retrieved from https://csuglobal.idm.oclc.org/login?url=https://search-proquest-com.csuglobal.idm.oclc.org/docview/2100339387?accountid=38569</w:t>
      </w:r>
    </w:p>
    <w:p>
      <w:pPr>
        <w:pStyle w:val="Normal"/>
        <w:spacing w:lineRule="auto" w:line="480" w:before="0" w:after="200"/>
        <w:ind w:left="720" w:hanging="720"/>
        <w:rPr/>
      </w:pPr>
      <w:r>
        <w:rPr>
          <w:szCs w:val="24"/>
        </w:rPr>
        <w:t>University of Minnesota. (2016). Human resource management. Minneapolis, MN: University of Minnesota Libraries Publishing. Retrieved from https://open.lib.umn.edu/humanresourcemanagement/</w:t>
      </w:r>
    </w:p>
    <w:sectPr>
      <w:headerReference w:type="default" r:id="rId2"/>
      <w:headerReference w:type="first" r:id="rId3"/>
      <w:type w:val="nextPage"/>
      <w:pgSz w:w="12240" w:h="15840"/>
      <w:pgMar w:left="1440" w:right="1440" w:header="720" w:top="1440" w:footer="0" w:bottom="1440"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580733261"/>
    </w:sdtPr>
    <w:sdtContent>
      <w:p>
        <w:pPr>
          <w:pStyle w:val="Header"/>
          <w:rPr/>
        </w:pPr>
        <w:r>
          <w:rPr/>
          <w:t>COMPREHENSIVE TOTAL REWARDS PLAN</w:t>
          <w:tab/>
        </w:r>
        <w:r>
          <w:rPr/>
          <w:fldChar w:fldCharType="begin"/>
        </w:r>
        <w:r>
          <w:rPr/>
          <w:instrText> PAGE </w:instrText>
        </w:r>
        <w:r>
          <w:rPr/>
          <w:fldChar w:fldCharType="separate"/>
        </w:r>
        <w:r>
          <w:rPr/>
          <w:t>5</w:t>
        </w:r>
        <w:r>
          <w:rPr/>
          <w:fldChar w:fldCharType="end"/>
        </w:r>
      </w:p>
    </w:sdtContent>
  </w:sdt>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t>Running head: COMPREHENSIVE TOTAL REWARDS PLAN</w:t>
      <w:tab/>
      <w:t>1</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Pr>
    </w:lvl>
  </w:abstractNum>
  <w:abstractNum w:abstractNumId="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color w:val="000000"/>
        <w:sz w:val="24"/>
        <w:lang w:val="en-US" w:eastAsia="en-US" w:bidi="ar-SA"/>
      </w:rPr>
    </w:rPrDefault>
    <w:pPrDefault>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pPr>
      <w:widowControl/>
      <w:bidi w:val="0"/>
      <w:spacing w:lineRule="auto" w:line="276" w:before="0" w:after="200"/>
      <w:jc w:val="left"/>
    </w:pPr>
    <w:rPr>
      <w:rFonts w:ascii="Times New Roman" w:hAnsi="Times New Roman" w:eastAsia="Arial Unicode MS" w:cs="Times New Roman"/>
      <w:color w:val="000000"/>
      <w:kern w:val="0"/>
      <w:sz w:val="24"/>
      <w:szCs w:val="20"/>
      <w:u w:val="none" w:color="000000"/>
      <w:lang w:val="en-US" w:eastAsia="en-US" w:bidi="ar-SA"/>
    </w:rPr>
  </w:style>
  <w:style w:type="character" w:styleId="DefaultParagraphFont" w:default="1">
    <w:name w:val="Default Paragraph Font"/>
    <w:uiPriority w:val="1"/>
    <w:unhideWhenUsed/>
    <w:qFormat/>
    <w:rPr/>
  </w:style>
  <w:style w:type="character" w:styleId="HeaderChar" w:customStyle="1">
    <w:name w:val="Header Char"/>
    <w:basedOn w:val="DefaultParagraphFont"/>
    <w:link w:val="Header"/>
    <w:uiPriority w:val="99"/>
    <w:qFormat/>
    <w:rsid w:val="00a21419"/>
    <w:rPr/>
  </w:style>
  <w:style w:type="character" w:styleId="FooterChar" w:customStyle="1">
    <w:name w:val="Footer Char"/>
    <w:basedOn w:val="DefaultParagraphFont"/>
    <w:link w:val="Footer"/>
    <w:uiPriority w:val="99"/>
    <w:qFormat/>
    <w:rsid w:val="00a21419"/>
    <w:rPr/>
  </w:style>
  <w:style w:type="character" w:styleId="Textnocase" w:customStyle="1">
    <w:name w:val="text-no-case"/>
    <w:basedOn w:val="DefaultParagraphFont"/>
    <w:qFormat/>
    <w:rsid w:val="00bb166c"/>
    <w:rPr/>
  </w:style>
  <w:style w:type="character" w:styleId="InternetLink">
    <w:name w:val="Internet Link"/>
    <w:basedOn w:val="DefaultParagraphFont"/>
    <w:uiPriority w:val="99"/>
    <w:unhideWhenUsed/>
    <w:rsid w:val="00bb166c"/>
    <w:rPr>
      <w:color w:val="0000FF" w:themeColor="hyperlink"/>
      <w:u w:val="single" w:color="000000"/>
    </w:rPr>
  </w:style>
  <w:style w:type="character" w:styleId="UnresolvedMention">
    <w:name w:val="Unresolved Mention"/>
    <w:basedOn w:val="DefaultParagraphFont"/>
    <w:uiPriority w:val="99"/>
    <w:semiHidden/>
    <w:unhideWhenUsed/>
    <w:qFormat/>
    <w:rsid w:val="00bb166c"/>
    <w:rPr>
      <w:color w:val="605E5C"/>
      <w:shd w:fill="E1DFDD" w:val="clear"/>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sz w:val="20"/>
    </w:rPr>
  </w:style>
  <w:style w:type="character" w:styleId="ListLabel17">
    <w:name w:val="ListLabel 17"/>
    <w:qFormat/>
    <w:rPr>
      <w:sz w:val="20"/>
    </w:rPr>
  </w:style>
  <w:style w:type="character" w:styleId="ListLabel18">
    <w:name w:val="ListLabel 18"/>
    <w:qFormat/>
    <w:rPr>
      <w:sz w:val="20"/>
    </w:rPr>
  </w:style>
  <w:style w:type="character" w:styleId="ListLabel19">
    <w:name w:val="ListLabel 19"/>
    <w:qFormat/>
    <w:rPr>
      <w:sz w:val="20"/>
    </w:rPr>
  </w:style>
  <w:style w:type="character" w:styleId="ListLabel20">
    <w:name w:val="ListLabel 20"/>
    <w:qFormat/>
    <w:rPr>
      <w:sz w:val="20"/>
    </w:rPr>
  </w:style>
  <w:style w:type="character" w:styleId="ListLabel21">
    <w:name w:val="ListLabel 21"/>
    <w:qFormat/>
    <w:rPr>
      <w:sz w:val="20"/>
    </w:rPr>
  </w:style>
  <w:style w:type="character" w:styleId="ListLabel22">
    <w:name w:val="ListLabel 22"/>
    <w:qFormat/>
    <w:rPr>
      <w:sz w:val="20"/>
    </w:rPr>
  </w:style>
  <w:style w:type="character" w:styleId="ListLabel23">
    <w:name w:val="ListLabel 23"/>
    <w:qFormat/>
    <w:rPr>
      <w:sz w:val="20"/>
    </w:rPr>
  </w:style>
  <w:style w:type="character" w:styleId="ListLabel24">
    <w:name w:val="ListLabel 24"/>
    <w:qFormat/>
    <w:rPr>
      <w:sz w:val="20"/>
    </w:rPr>
  </w:style>
  <w:style w:type="character" w:styleId="ListLabel25">
    <w:name w:val="ListLabel 25"/>
    <w:qFormat/>
    <w:rPr>
      <w:sz w:val="20"/>
    </w:rPr>
  </w:style>
  <w:style w:type="character" w:styleId="ListLabel26">
    <w:name w:val="ListLabel 26"/>
    <w:qFormat/>
    <w:rPr>
      <w:sz w:val="20"/>
    </w:rPr>
  </w:style>
  <w:style w:type="character" w:styleId="ListLabel27">
    <w:name w:val="ListLabel 27"/>
    <w:qFormat/>
    <w:rPr>
      <w:sz w:val="20"/>
    </w:rPr>
  </w:style>
  <w:style w:type="character" w:styleId="ListLabel28">
    <w:name w:val="ListLabel 28"/>
    <w:qFormat/>
    <w:rPr>
      <w:sz w:val="20"/>
    </w:rPr>
  </w:style>
  <w:style w:type="character" w:styleId="ListLabel29">
    <w:name w:val="ListLabel 29"/>
    <w:qFormat/>
    <w:rPr>
      <w:sz w:val="20"/>
    </w:rPr>
  </w:style>
  <w:style w:type="character" w:styleId="ListLabel30">
    <w:name w:val="ListLabel 30"/>
    <w:qFormat/>
    <w:rPr>
      <w:sz w:val="20"/>
    </w:rPr>
  </w:style>
  <w:style w:type="character" w:styleId="ListLabel31">
    <w:name w:val="ListLabel 31"/>
    <w:qFormat/>
    <w:rPr>
      <w:sz w:val="20"/>
    </w:rPr>
  </w:style>
  <w:style w:type="character" w:styleId="ListLabel32">
    <w:name w:val="ListLabel 32"/>
    <w:qFormat/>
    <w:rPr>
      <w:sz w:val="20"/>
    </w:rPr>
  </w:style>
  <w:style w:type="character" w:styleId="ListLabel33">
    <w:name w:val="ListLabel 33"/>
    <w:qFormat/>
    <w:rPr>
      <w:sz w:val="20"/>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
    <w:name w:val="Header"/>
    <w:basedOn w:val="Normal"/>
    <w:link w:val="HeaderChar"/>
    <w:uiPriority w:val="99"/>
    <w:unhideWhenUsed/>
    <w:rsid w:val="00a21419"/>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a21419"/>
    <w:pPr>
      <w:tabs>
        <w:tab w:val="clear" w:pos="720"/>
        <w:tab w:val="center" w:pos="4680" w:leader="none"/>
        <w:tab w:val="right" w:pos="9360" w:leader="none"/>
      </w:tabs>
      <w:spacing w:lineRule="auto" w:line="240" w:before="0" w:after="0"/>
    </w:pPr>
    <w:rPr/>
  </w:style>
  <w:style w:type="paragraph" w:styleId="ListParagraph">
    <w:name w:val="List Paragraph"/>
    <w:basedOn w:val="Normal"/>
    <w:uiPriority w:val="34"/>
    <w:qFormat/>
    <w:rsid w:val="00eb63eb"/>
    <w:pPr>
      <w:spacing w:before="0" w:after="200"/>
      <w:ind w:left="720" w:hanging="0"/>
      <w:contextualSpacing/>
    </w:pPr>
    <w:rPr/>
  </w:style>
  <w:style w:type="paragraph" w:styleId="Mdnavitem" w:customStyle="1">
    <w:name w:val="md-nav-item"/>
    <w:basedOn w:val="Normal"/>
    <w:qFormat/>
    <w:rsid w:val="00bb166c"/>
    <w:pPr>
      <w:spacing w:lineRule="auto" w:line="240" w:beforeAutospacing="1" w:afterAutospacing="1"/>
    </w:pPr>
    <w:rPr>
      <w:rFonts w:eastAsia="Times New Roman"/>
      <w:color w:val="auto"/>
      <w:szCs w:val="24"/>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LibreOffice/6.1.2.1$Windows_X86_64 LibreOffice_project/65905a128db06ba48db947242809d14d3f9a93fe</Application>
  <Pages>5</Pages>
  <Words>525</Words>
  <Characters>3664</Characters>
  <CharactersWithSpaces>4140</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2019-10-14T05:29:00Z</dcterms:created>
  <dc:creator/>
  <dc:description/>
  <dc:language>en-US</dc:language>
  <cp:lastModifiedBy/>
  <dcterms:modified xsi:type="dcterms:W3CDTF">2019-10-17T00:19:58Z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